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jpg" ContentType="image/jpeg"/>
  <Override PartName="/word/media/rId100.jpg" ContentType="image/jpeg"/>
  <Override PartName="/word/media/rId90.jpg" ContentType="image/jpeg"/>
  <Override PartName="/word/media/rId96.jpg" ContentType="image/jpeg"/>
  <Override PartName="/word/media/rId39.jpg" ContentType="image/jpeg"/>
  <Override PartName="/word/media/rId98.jpg" ContentType="image/jpeg"/>
  <Override PartName="/word/media/rId23.png" ContentType="image/png"/>
  <Override PartName="/word/media/rId70.jpg" ContentType="image/jpeg"/>
  <Override PartName="/word/media/rId72.jpg" ContentType="image/jpeg"/>
  <Override PartName="/word/media/rId74.png" ContentType="image/png"/>
  <Override PartName="/word/media/rId94.jpg" ContentType="image/jpeg"/>
  <Override PartName="/word/media/rId92.jpg" ContentType="image/jpeg"/>
  <Override PartName="/word/media/rId112.jpg" ContentType="image/jpeg"/>
  <Override PartName="/word/media/rId121.png" ContentType="image/png"/>
  <Override PartName="/word/media/rId118.jpg" ContentType="image/jpeg"/>
  <Override PartName="/word/media/rId109.jpg" ContentType="image/jpeg"/>
  <Override PartName="/word/media/rId105.jpg" ContentType="image/jpeg"/>
  <Override PartName="/word/media/rId107.jpg" ContentType="image/jpeg"/>
  <Override PartName="/word/media/rId41.jpg" ContentType="image/jpeg"/>
  <Override PartName="/word/media/rId1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Estatı́stica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cientı́fico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Nos Métodos devemos explicitar o caminho que seguiremos para responder a pergunta que foi explicitada na Introdução (como encontraremos a resposta para a pergunta?)</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Xe80e52869120c4cd3c20f982f69874cec98584b"/>
      <w:r>
        <w:t xml:space="preserve">Exemplificação de uma possı́vel organização deste texto</w:t>
      </w:r>
      <w:bookmarkEnd w:id="21"/>
    </w:p>
    <w:p>
      <w:pPr>
        <w:pStyle w:val="FirstParagraph"/>
      </w:pPr>
      <w:r>
        <w:t xml:space="preserve">Usando KARA-JUNIOR (2014) como guia e considerando que nesta dissertação, como se verá adiante, o objeto de estudo é o Projeto WASH, podemos fazer um exercı́cio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poderı́amos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poderı́amos ter como conteúdo: Para estudar a história do Projeto WASH nós levantaremos o acervo de documentos oficiais que levaram à criação do projeto. Ou talvez, ainda no campo da exemplificação, a resposta em Materiais e Métodos pudesse ser diferente: Para levantar a história do Projeto WASH foi feita uma pesquisa das referências presentes na mı́dia.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por Objetos.</w:t>
      </w:r>
    </w:p>
    <w:p>
      <w:pPr>
        <w:pStyle w:val="BodyText"/>
      </w:pPr>
      <w:r>
        <w:t xml:space="preserve">Se a Introdução trouxesse a pergunta Quais resultados o WASH alcançou?, um possı́vel conteúdo para Métodos poderia ser: Para descobrir quais resultados foram alcançados pelo WASH é preciso aplicar método de banco de dados relacionais, etc.. Outro possı́vel conteúdo para Métodos seria Os resultados do WASH serão analisados através de uma planilha eletrônica do tipo Excel.</w:t>
      </w:r>
    </w:p>
    <w:p>
      <w:pPr>
        <w:pStyle w:val="BodyText"/>
      </w:pPr>
      <w:r>
        <w:t xml:space="preserve">Vamos continuar o nosso exercı́cio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poderı́amos ter uma narrativa como esta: Segundo o instrumento jurı́dico presente no acervo, o Projeto WASH foi criado em 2013, no Centro de Tecnologia da Informação Renato Archer, etc.</w:t>
      </w:r>
    </w:p>
    <w:p>
      <w:pPr>
        <w:pStyle w:val="BodyText"/>
      </w:pPr>
      <w:r>
        <w:t xml:space="preserve">Se na introdução a pergunta explicitada fosse De que forma o WASH é executado?é possı́vel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possı́vel conteúdo para Resultados seria: O gráfico obtido a partir da Base de Dados Relacional mostra a evolução do número de pessoas atendidas ao longo dos 10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poderı́amos ter o conteúdo de caráter interpretativo: Como se vê, o Projeto WASH tem elementos de outros projetos, tais como o GESAC e OLPC.</w:t>
      </w:r>
    </w:p>
    <w:p>
      <w:pPr>
        <w:pStyle w:val="BodyText"/>
      </w:pPr>
      <w:r>
        <w:t xml:space="preserve">Se na introdução a pergunta explicitada fosse De que forma o WASH é executado?, na Discussão é possı́vel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possı́vel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Desta forma, o que se buscou aqui é, a partir de exemplos, mostrar a forma como esta dissertação está organizada.</w:t>
      </w:r>
    </w:p>
    <w:p>
      <w:pPr>
        <w:pStyle w:val="Heading2"/>
      </w:pPr>
      <w:bookmarkStart w:id="22" w:name="X7d41dde421b7acc755c310ff43ecaffcb66df5b"/>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cientı́ficos.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X8bd8283eb0f9593c24bd86a5ff56e7a9416248f"/>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X6c695de38f1d0976af5b69b3f9d41f1067cd060"/>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cientı́ficos, em que a concisão é especialmente necessária. Mas papers cientı́ficos não são o único formato disponı́vel para realizar uma comunicação cientı́fica.</w:t>
      </w:r>
    </w:p>
    <w:p>
      <w:pPr>
        <w:pStyle w:val="BodyText"/>
      </w:pPr>
      <w:r>
        <w:t xml:space="preserve">Existem formatos mais extensos para documentação, tais como: relatórios, teses e capı́tulos de livros. Alaide Mammana, em MAMMANA (2020) , também explora estas nuances, muito embora a estrutura básica seja sempre Introdução, Métodos, Resultadose Discussão, como já estressado aqui.</w:t>
      </w:r>
    </w:p>
    <w:p>
      <w:pPr>
        <w:pStyle w:val="BodyText"/>
      </w:pPr>
      <w:r>
        <w:t xml:space="preserve">O presente texto, por se tratar de uma dissertação, precisa valer-se de formatos mais extensos, uma vez que envolve a defesa para obtenção de um tı́tulo(mestrado). Nesta situação, é preciso demonstrar erudição nos temas abordados, para que o conhecimento do candidato sobre o tema possa ser avaliado. Desta forma, nos é possı́vel explorar melhor a necessária busca por uma erudição, dado que, diferentemente de um artigo cientı́fico em revista (paper), que se caracteriza pela brevidade, comporta a revisão de conhecimentos já existentes de forma mais estendida.</w:t>
      </w:r>
    </w:p>
    <w:p>
      <w:pPr>
        <w:pStyle w:val="Heading2"/>
      </w:pPr>
      <w:bookmarkStart w:id="26" w:name="Organiza\c{c}\~ao da Introdu\c{c}\~ao"/>
      <w:r>
        <w:t xml:space="preserve">Organização da Introdução</w:t>
      </w:r>
      <w:bookmarkEnd w:id="26"/>
    </w:p>
    <w:p>
      <w:pPr>
        <w:pStyle w:val="FirstParagraph"/>
      </w:pPr>
      <w:r>
        <w:t xml:space="preserve">Seguindo as sugestões presentes em MEO (2018), optamos por uma introdução curta, leve e objetiva, complementada por um capı́tulo de Fundamentação Teórica. A introdução é estruturada para culminar, por meio de seus últimos parágrafos, na descrição do objeto de estudo. O caminho percorrido é o de descrever esse objeto do mais geral até o especı́fico.</w:t>
      </w:r>
    </w:p>
    <w:p>
      <w:pPr>
        <w:pStyle w:val="BodyText"/>
      </w:pPr>
      <w:r>
        <w:t xml:space="preserve">Para que pudéssemos nos expressar de forma organizada, buscando demonstrar um compromisso com a erudição, sem perder a objetividade da Introdução, acatamos a sugestão do orientador de incluir um capı́tulo de Fundamentação Teórica, no qual os temas pincelados na Introduçãopudessem ser mais profundamente descritos, sem prejuı́zo para um formato leve e balanceadopara a apresentação da literatura na introdução, um aspecto que, segundo MEO (2018), deve ser perseguido pelo redator de textos cientı́ficos. Assim, a exposição na Introduçãobuscou ser o mais sintética possı́vel, com direcionamento para a Fundamentação Teóricasempre que foi necessário aprofundar algum conceito.</w:t>
      </w:r>
    </w:p>
    <w:p>
      <w:pPr>
        <w:pStyle w:val="BodyText"/>
      </w:pPr>
      <w:r>
        <w:t xml:space="preserve">Para facilitar a sua localização no texto, optamos, também, por colocar em subseções da Introduçãoos itens que caracterizam o escopo da tese:</w:t>
      </w:r>
    </w:p>
    <w:p>
      <w:pPr>
        <w:pStyle w:val="BodyText"/>
      </w:pPr>
      <w:r>
        <w:t xml:space="preserve">exposição dos problemas</w:t>
      </w:r>
    </w:p>
    <w:p>
      <w:pPr>
        <w:pStyle w:val="BodyText"/>
      </w:pPr>
      <w:r>
        <w:t xml:space="preserve">hipóteses</w:t>
      </w:r>
    </w:p>
    <w:p>
      <w:pPr>
        <w:pStyle w:val="BodyText"/>
      </w:pPr>
      <w:r>
        <w:t xml:space="preserve">das questões</w:t>
      </w:r>
    </w:p>
    <w:p>
      <w:pPr>
        <w:pStyle w:val="BodyText"/>
      </w:pPr>
      <w:r>
        <w:t xml:space="preserve">e dos objetos de interesse</w:t>
      </w:r>
    </w:p>
    <w:p>
      <w:pPr>
        <w:pStyle w:val="Heading2"/>
      </w:pPr>
      <w:bookmarkStart w:id="27" w:name="X2a89bd38e97e8e958e2824c924cc25cf9cb9291"/>
      <w:r>
        <w:t xml:space="preserve">Organização de Materiais e Métodos</w:t>
      </w:r>
      <w:bookmarkEnd w:id="27"/>
    </w:p>
    <w:p>
      <w:pPr>
        <w:pStyle w:val="FirstParagraph"/>
      </w:pPr>
      <w:r>
        <w:t xml:space="preserve">Uma vez que a presente pesquisa tem por objeto a caracterização do Projeto WASH quanto a:</w:t>
      </w:r>
    </w:p>
    <w:p>
      <w:pPr>
        <w:pStyle w:val="BodyText"/>
      </w:pPr>
      <w:r>
        <w:t xml:space="preserve">sua história (trajetória)</w:t>
      </w:r>
    </w:p>
    <w:p>
      <w:pPr>
        <w:pStyle w:val="BodyText"/>
      </w:pPr>
      <w:r>
        <w:t xml:space="preserve">seus métodos</w:t>
      </w:r>
    </w:p>
    <w:p>
      <w:pPr>
        <w:pStyle w:val="BodyText"/>
      </w:pPr>
      <w:r>
        <w:t xml:space="preserve">e seus resultados</w:t>
      </w:r>
    </w:p>
    <w:p>
      <w:pPr>
        <w:pStyle w:val="BodyText"/>
      </w:pPr>
      <w:r>
        <w:t xml:space="preserve">podemos considerar a descrição da história(a) e do método do WASH(b), bem como seus indicadores(c), como resultados da aplicação do método da pesquisa adotado nesta dissertação.</w:t>
      </w:r>
    </w:p>
    <w:p>
      <w:pPr>
        <w:pStyle w:val="BodyText"/>
      </w:pPr>
      <w:r>
        <w:t xml:space="preserve">Em outras palavras, uma das dimensões do método que empregamos neste mestrado refere-se a caracterizar o método do WASH. Portanto, a pesquisa realizada aqui envolve, além do método historiográfico, um outro que poderia ser considerado como método de caracterização de métodos.</w:t>
      </w:r>
    </w:p>
    <w:p>
      <w:pPr>
        <w:pStyle w:val="BodyText"/>
      </w:pPr>
      <w:r>
        <w:t xml:space="preserve">Assim, a descrição do método do WASH deve ser considerada uma decorrência da aplicação do método da pesquisa desta dissertação e, por esse motivo, encontra-se no capı́tulo de Resultados e Discussõese não no capı́tulo de Materiais e Métodos.</w:t>
      </w:r>
    </w:p>
    <w:p>
      <w:pPr>
        <w:pStyle w:val="Heading2"/>
      </w:pPr>
      <w:bookmarkStart w:id="28" w:name="X849ff09b628952b5e4849b80641e7c6ace4fb1c"/>
      <w:r>
        <w:t xml:space="preserve">Organização de Resultados e Discussões</w:t>
      </w:r>
      <w:bookmarkEnd w:id="28"/>
    </w:p>
    <w:p>
      <w:pPr>
        <w:pStyle w:val="FirstParagraph"/>
      </w:pPr>
      <w:r>
        <w:t xml:space="preserve">Optamos por juntar em um único capı́tulo os resultados e as discussões (Resultados e Discussões). Esta opção visa garantir uma melhor fluidez, dado que permite apresentar as opções de análise que levaram à proposta de melhorias no método do WASH, o produto final desta dissertação.</w:t>
      </w:r>
    </w:p>
    <w:p>
      <w:pPr>
        <w:pStyle w:val="Heading2"/>
      </w:pPr>
      <w:bookmarkStart w:id="29" w:name="X7c3bf0198688b8e12e004c764fe6c56e9d65563"/>
      <w:r>
        <w:t xml:space="preserve">Organização de Produto Tecnológico</w:t>
      </w:r>
      <w:bookmarkEnd w:id="29"/>
    </w:p>
    <w:p>
      <w:pPr>
        <w:pStyle w:val="FirstParagraph"/>
      </w:pPr>
      <w:r>
        <w:t xml:space="preserve">A presente dissertação, por se tratar de um Mestrado Tecnológico, deve culminar com a apresentação de um produto de caráter prático, que no presente caso será uma revisão do Documento de Referência do Projeto WASH constante do anexo da Portaria CTI 178/2018 (CTI, 2018). Por esse motivo foi acrescentado à estrutura do documento um capı́tulo de Produto Tecnológico.</w:t>
      </w:r>
    </w:p>
    <w:p>
      <w:pPr>
        <w:pStyle w:val="Heading1"/>
      </w:pPr>
      <w:bookmarkStart w:id="30" w:name="INTRODU\c{C}\~AO"/>
      <w:r>
        <w:t xml:space="preserve">INTRODUÇÃO</w:t>
      </w:r>
      <w:bookmarkEnd w:id="30"/>
    </w:p>
    <w:p>
      <w:pPr>
        <w:pStyle w:val="FirstParagraph"/>
      </w:pPr>
      <w:r>
        <w:t xml:space="preserve">Aos olhos de jovens observadores contemporâneos, parece natural a relativa desenvoltura com que as pessoas utilizam os computadores e os celulares nos dias de hoje. Já estão bastante difundidos os serviços de governo eletrônico, os sites de comércio eletrônico, os aplicativos de entrega, as plataformas de ensino, de reuniões, a busca por oportunidades profissionais, o voto eletrônico, banco e o caixa eletrônico, por exemplo.</w:t>
      </w:r>
    </w:p>
    <w:p>
      <w:pPr>
        <w:pStyle w:val="BodyText"/>
      </w:pPr>
      <w:r>
        <w:t xml:space="preserve">Desta forma, é possı́vel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entretenimento, de interação social, além dos serviços de governo eletrônico.</w:t>
      </w:r>
    </w:p>
    <w:p>
      <w:pPr>
        <w:pStyle w:val="BodyText"/>
      </w:pPr>
      <w:r>
        <w:t xml:space="preserve">As novas gerações precisam, no entanto, saber que não foi sempre assim. Muito embora a percepção corrente de que o uso de computadores e celulares é indispensável para o convı́vio na sociedade, a rigor seu uso é relativamente recente.</w:t>
      </w:r>
    </w:p>
    <w:p>
      <w:pPr>
        <w:pStyle w:val="BodyText"/>
      </w:pPr>
      <w:r>
        <w:t xml:space="preserve">É possı́vel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chegar nesse ponto, governos tiveram que prover a infraestrutura de ciência e tecnologia, comunicações e de redes digitais, bem como os meios de acesso a essas redes, algumas vezes com a participação da iniciativa privada. Na outra ponta, tiveram que promover projetos, formular polı́ticas públicas de C</w:t>
      </w:r>
    </w:p>
    <w:p>
      <w:pPr>
        <w:pStyle w:val="BodyText"/>
      </w:pPr>
      <w:r>
        <w:t xml:space="preserve">Inicialmente as redes digitais estavam fortemente vinculadas à academia, às instituiçòes de pesquisa e à área de defesa [XXX], principalmente num contexto estatal. Posteriormente foram avançando em direção ao suprimento das necessidades de relacionamento do cidadão com o governo. Mas estas redes foram mais longe, e alcançaram todas as demais dimensões do cidadão, tais como as de: consumidor, beneficiário de serviços de saúde, educando, trabalhador, empreendedor, contribuinte, eleitor, usuário de serviços bancários, entre outras. Essa expansão se deu como resultado de várias ações, mas sua universalização foi resultado principalmente do surgimento de novas formas de relacionamento social representadas pelas redes sociais digitais, que tornaram mais acessı́veis novas ferramentas de apoio ao ensino em sala de aula, o ensino à distância, o comércio eletrônico, a eleição eletrônica, os market-places, os aplicativos de transporte e entrega, etc.</w:t>
      </w:r>
    </w:p>
    <w:p>
      <w:pPr>
        <w:pStyle w:val="BodyText"/>
      </w:pPr>
      <w:r>
        <w:t xml:space="preserve">Estas transformações tiveram impactos econômicos e sociais profundos, inclusive nas relações de trabalho, seja na criação ou extinção de posto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destas transformações no emprego vem exigindo dos governos, das empresas e dos cidadãos uma constante e rápida readaptação das relações do trabalho, comerciais, industriais e da produção de novos saberes e competências. Consequentemente, também o sistema educacional vem sendo desafiado a se adaptar, uma vez que é dele que se espera o preparo dos cidadãos para a nova realidade. Aqueles cidadãos que não se preparam correm o risco constante de ficarem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gı́ria que pode ser usada para trabalho temporário [XXX dicionário].</w:t>
      </w:r>
    </w:p>
    <w:p>
      <w:pPr>
        <w:pStyle w:val="BodyText"/>
      </w:pPr>
      <w:r>
        <w:t xml:space="preserve">Vários paı́ses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w:t>
      </w:r>
      <w:r>
        <w:t xml:space="preserve">”</w:t>
      </w:r>
      <w:r>
        <w:t xml:space="preserve"> </w:t>
      </w:r>
      <w:r>
        <w:t xml:space="preserve">em relação aos demais paı́ses pode afetar a prosperidade de suas populações, sua autonomia e liberdade [XXX].</w:t>
      </w:r>
    </w:p>
    <w:p>
      <w:pPr>
        <w:pStyle w:val="BodyText"/>
      </w:pPr>
      <w:r>
        <w:t xml:space="preserve">Mais do que simplesmente treinaro cidadão quanto ao uso de serviços digitais, a educação tem um papel fundamental para preparar os cidadãos para sua inserção autônoma e digna na sociedade transformada pelas tecnologias de informação e comunicação. O Estado tem o desafio de estabelecer polı́ticas públicas e prover infraestrutura para que o cidadão possa ter acesso e se beneficiar, de forma autônoma, dos recursos digitais e de comunicação, mas também de contribuir com sua construção, beneficiando-se profissionlmente da riqueza que ele gera. O cidadão também precisa ser capaz de entender o que está por trásdesses sistemas digitais, para que possa reagir aos excessos da algoritmizaçãode suas relaçòes com outros indivı́duos.</w:t>
      </w:r>
    </w:p>
    <w:p>
      <w:pPr>
        <w:pStyle w:val="BodyText"/>
      </w:pPr>
      <w:r>
        <w:t xml:space="preserve">A percepção da importância da educação para a prosperidade da sociedade não é uma novidade. No caso americano, por exemplo, remonta aos primórdios da independência. No capı́tulo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perdurou por toda a existência americana, até os dias de hoje. Em muitos momentos foi estimulada, inclusive, como resposta às ameaças externas, como foi o caso do sucesso soviético no programa espacial, representado pelo pioneirismo do lançamento do satélite Sputnik no final da década de 50. É naquele cenário da Guerra Fria que a polı́tica de educação em STEM e alfabetização cientı́fica e tecnológica passou a ser vista mais claramente como bem comum para o Estado, mesmo muito antes do uso desse acrônimo de forma oficial. ( Relatório CRS para o Congresso, www.crs.gov, 2012)</w:t>
      </w:r>
    </w:p>
    <w:p>
      <w:pPr>
        <w:pStyle w:val="BodyText"/>
      </w:pPr>
      <w:r>
        <w:t xml:space="preserve">Não obstante esta permanente percepção pública da importância e do valor da ciência, nos anos 90 foram identificadas fragilidades nas estruturas de educação STEM americana, as quais prejudicavam a prosperidade, o poderio nacional, a inserção de seus cidadãos no novo mundo do trabalho, do empreendedorismo,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cientı́fica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perı́odo identificavam que faltava aos EUA uma polı́tica nacional uniforme e inclusiva de ensino de ciências, pois era possı́vel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 Esse pesquisador, que vivenciou a guerra fria, colaborou na estruturação do Departamento de [YYY - tá faltando algo aqui]</w:t>
      </w:r>
    </w:p>
    <w:p>
      <w:pPr>
        <w:pStyle w:val="BodyText"/>
      </w:pPr>
      <w:r>
        <w:t xml:space="preserve">Ele foi o filósofo dos pioneiros a pensar a aprendizagem de crianças de forma diferente. Em 1968 escreveu o artigo Teaching Children Thinking em que abordava o tema sobre crianças, educação e computadores:</w:t>
      </w:r>
    </w:p>
    <w:p>
      <w:pPr>
        <w:pStyle w:val="BodyText"/>
      </w:pPr>
      <w:r>
        <w:t xml:space="preserve">Papert formulou esse pensamento quando os computadores dos anos 70 ainda não eram acessı́veis ou disponı́veis para uso doméstico ou no sistema educacional. Naquele tempo não existia o conceito de micro-computadorese equipamentos com poder de processamento milhares de vezes inferior ao de um notebook de hoje ocupavam andares inteiros de prédios [XXX lei de moore]. Os custos eram muito altos, o acesso era muito restrito e havia dúvidas sobre se algum dia seriam amplamente acessı́veis [XXX referência]. Mas mesmo na forma de mainframes centralizados (computadores de grande porte) com as limitações indicadas acima, foi possı́vel a Papert realizar incursões pioneiras no campo da aprendizagem para crianças utilizando computadores, mesmo que restrita a privilegiados, sem, ainda, a possibilidade de uma grande disseminação no sistema educacional [XXX é possı́vel encontrar referências?]. Portanto, foi um visionário ao sugerir que a criança teria, um dia, amplo acesso ao computador, a ponto de ficar no comando do computador durante a aprendizagem e não o contrário [XXX citar a fi].</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outras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ou outra citação do Papert nesse sentido]. A ideia era aprender o que se precisa e não aprender o que se deve [XXX verificar outras citações melhores de Papert para colocar aqui]. Outro ponto importante era buscar a ludicidade no aprendizado [XXX citar a fonte - YYY - falta complementar aqui]. O capı́tulo de Fundamentação Teórica traz um aprofundamento sobre o pensamento de Papert.</w:t>
      </w:r>
    </w:p>
    <w:p>
      <w:pPr>
        <w:pStyle w:val="BodyText"/>
      </w:pPr>
      <w:r>
        <w:t xml:space="preserve">O caráter estritamente educacional e a peculiar abordagem das propostas de Papert são apontados em Brazil Plan(aliás, muito a posteriori por seus colegas) como uma alternativa para a inserção do indivı́duo na era digital(digital age).</w:t>
      </w:r>
    </w:p>
    <w:p>
      <w:pPr>
        <w:pStyle w:val="BodyText"/>
      </w:pPr>
      <w:r>
        <w:t xml:space="preserve">Portanto é razoável assumir que os conceitos educacionais de Papert são reconhecidos por seus discı́pulos [XXX Brazil Plan] também como um caminho natural para a melhor inserção dos indivı́duos na Sociedade da Informação, muito embora os conceitos de era digitale de sociedade da informaçãonão sejam equivalentes mas relacionados, uma vez se diferenciam no fato de que o primeiro se refere mais às transformações tecnológicas que levaram ao segundo.</w:t>
      </w:r>
    </w:p>
    <w:p>
      <w:pPr>
        <w:pStyle w:val="BodyText"/>
      </w:pPr>
      <w:r>
        <w:t xml:space="preserve">Da mesma forma, é razoável assumir que uma parte das iniciativas educacionais mundiais em torno de STEM basearem-se em trabalhos como os de Papert, que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já mencionadas [XXX citar onde foi mencionado] preocupações com o relativo baixo desempenho em STEM, que se aprofundavam nos EUA nos anos 90, alcançaram o resto do mundo e propostas começaram a surgir para tentar promover a qualificação da educação em paı́ses em desenvolvimento por meio do uso intensivo de computadores, nos moldes do que enxergara Papert em seus trabalhos seminais.</w:t>
      </w:r>
    </w:p>
    <w:p>
      <w:pPr>
        <w:pStyle w:val="BodyText"/>
      </w:pPr>
      <w:r>
        <w:t xml:space="preserve">O Projeto One Laptop Per Childfoi uma das iniciativas mais completas e robustas neste sentido, tendo saı́do do próprio MIT, especificamente concebido por discı́pulos de Papert, os quais estabeleceram planos para regiões especı́ficas do mundo, a exemplo do documento entitulado Brazil Plan, direcionado à Brazilian Task Forcee compartilhado com governo brasileiro em 2004-2005 [XXX Brazil Plan], quando Nicholas Negroponte se encontrou com Lula em Davos. 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lı́der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polı́ticos, na comunidade de informação e em outras áreas estratégicas e de defesa daquele paı́s.</w:t>
      </w:r>
    </w:p>
    <w:p>
      <w:pPr>
        <w:pStyle w:val="BodyText"/>
      </w:pPr>
      <w:r>
        <w:t xml:space="preserve">Nicholas transitava com desenvoltura entre lı́deres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escrutı́nio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constituı́do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polı́tica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caracterı́sticas de ergonomia postural, por meio da captura de movimento;</w:t>
      </w:r>
    </w:p>
    <w:p>
      <w:pPr>
        <w:pStyle w:val="BodyText"/>
      </w:pPr>
      <w:r>
        <w:t xml:space="preserve">avaliação de caracterı́sticas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equı́voco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indivı́duo em sua própria cultura através da interação com outros indivı́duos.</w:t>
      </w:r>
    </w:p>
    <w:p>
      <w:pPr>
        <w:pStyle w:val="BodyText"/>
      </w:pPr>
      <w:r>
        <w:t xml:space="preserve">Esta definição colocava a interação entre indivı́duos no centro do processo e, portanto, qualquer esforço de qualificação da escola brasileira precisaria passar por uma ênfase no investimento em pessoas, mais do que em software ou hardware.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cientı́fico, buscando estabelecer meios para estimular, inicialmente, as disciplinas de STEM e, posteriormente, incluindo arte na lista, como tantos outros autores fizeram naquele perı́odo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currı́culo tradicional da escola formal, cujos valores principais se alicerçam no método cientı́fico. O WASH não é um curso, mas se constitui em espaços de interação humana para experimentação e convivência entre indivı́duos, no contexto do desenvolvimento de projetos de vários nı́veis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logı́stica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31" w:name="Objeto"/>
      <w:r>
        <w:t xml:space="preserve">Objeto</w:t>
      </w:r>
      <w:bookmarkEnd w:id="31"/>
    </w:p>
    <w:p>
      <w:pPr>
        <w:pStyle w:val="FirstParagraph"/>
      </w:pPr>
      <w:r>
        <w:t xml:space="preserve">Este trabalho tem por objeto de estudo o Projeto WASH.</w:t>
      </w:r>
    </w:p>
    <w:p>
      <w:pPr>
        <w:pStyle w:val="Heading2"/>
      </w:pPr>
      <w:bookmarkStart w:id="32" w:name="Objetivo"/>
      <w:r>
        <w:t xml:space="preserve">Objetivo</w:t>
      </w:r>
      <w:bookmarkEnd w:id="32"/>
    </w:p>
    <w:p>
      <w:pPr>
        <w:pStyle w:val="FirstParagraph"/>
      </w:pPr>
      <w:r>
        <w:t xml:space="preserve">Este trabalho tem por objetivo caracterizar o Projeto Workshop de Aficionados em Software e Hardware (WASH) quanto a:</w:t>
      </w:r>
    </w:p>
    <w:p>
      <w:pPr>
        <w:pStyle w:val="BodyText"/>
      </w:pPr>
      <w:r>
        <w:t xml:space="preserve">sua trajetória (história)</w:t>
      </w:r>
    </w:p>
    <w:p>
      <w:pPr>
        <w:pStyle w:val="BodyText"/>
      </w:pPr>
      <w:r>
        <w:t xml:space="preserve">seus métodos</w:t>
      </w:r>
    </w:p>
    <w:p>
      <w:pPr>
        <w:pStyle w:val="BodyText"/>
      </w:pPr>
      <w:r>
        <w:t xml:space="preserve">e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33" w:name="Hip\'oteses"/>
      <w:r>
        <w:t xml:space="preserve">Hipóteses</w:t>
      </w:r>
      <w:bookmarkEnd w:id="33"/>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 tais como</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sı́ncronas e assı́ncronas)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4" w:name="Problema"/>
      <w:r>
        <w:t xml:space="preserve">Problema</w:t>
      </w:r>
      <w:bookmarkEnd w:id="34"/>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precisam ser caracterizadas, para que as melhorias possam ser introduzidas no documento de formalização da metodologia.</w:t>
      </w:r>
    </w:p>
    <w:p>
      <w:pPr>
        <w:pStyle w:val="Heading2"/>
      </w:pPr>
      <w:bookmarkStart w:id="35" w:name="Justificativa"/>
      <w:r>
        <w:t xml:space="preserve">Justificativa</w:t>
      </w:r>
      <w:bookmarkEnd w:id="35"/>
    </w:p>
    <w:p>
      <w:pPr>
        <w:pStyle w:val="FirstParagraph"/>
      </w:pPr>
      <w:r>
        <w:t xml:space="preserve">A aceitação do método do Projeto WASH pelas instituições de educação, documentado por dezenas de instrumentos legais de adesão (portarias), permite vislumbrar a transformação do projeto em polı́tica pública, o que tem estimulado chamar o projeto como proto-polı́tica, ou seja, polı́tica pública em construção. Para que o projeto atinja esse estágio, é preciso fazer uma revisão em seu documento de referência e, para isso, é preciso caracterizá-lo em 3 dimensões: história, método e resultados.</w:t>
      </w:r>
    </w:p>
    <w:p>
      <w:pPr>
        <w:pStyle w:val="Heading1"/>
      </w:pPr>
      <w:bookmarkStart w:id="36" w:name="FUNDAMENTA\c{C}\~AO TE\'ORICA "/>
      <w:r>
        <w:t xml:space="preserve">FUNDAMENTAÇÃO TEÓRICA</w:t>
      </w:r>
      <w:r>
        <w:t xml:space="preserve"> </w:t>
      </w:r>
      <w:bookmarkEnd w:id="36"/>
    </w:p>
    <w:p>
      <w:pPr>
        <w:pStyle w:val="FirstParagraph"/>
      </w:pPr>
      <w:r>
        <w:t xml:space="preserve">Como já exposto na Introdução, o presente trabalho se propõe a:</w:t>
      </w:r>
    </w:p>
    <w:p>
      <w:pPr>
        <w:pStyle w:val="BodyText"/>
      </w:pPr>
      <w:r>
        <w:t xml:space="preserve">registrar a história do Projeto WASH</w:t>
      </w:r>
    </w:p>
    <w:p>
      <w:pPr>
        <w:pStyle w:val="BodyText"/>
      </w:pPr>
      <w:r>
        <w:t xml:space="preserve">caracterizar seu método</w:t>
      </w:r>
    </w:p>
    <w:p>
      <w:pPr>
        <w:pStyle w:val="BodyText"/>
      </w:pPr>
      <w:r>
        <w:t xml:space="preserve">caracterizar seus resultados</w:t>
      </w:r>
    </w:p>
    <w:p>
      <w:pPr>
        <w:pStyle w:val="BodyText"/>
      </w:pPr>
      <w:r>
        <w:t xml:space="preserve">Neste capı́tulo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cientı́fico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7" w:name="Fundamenta\c{c}\~ao: hist\'oria"/>
      <w:r>
        <w:t xml:space="preserve">Fundamentação: história</w:t>
      </w:r>
      <w:bookmarkEnd w:id="37"/>
    </w:p>
    <w:p>
      <w:pPr>
        <w:pStyle w:val="FirstParagraph"/>
      </w:pPr>
      <w:r>
        <w:t xml:space="preserve">Para caracterizar e traçar a trajetória do Programa WASH, em qual contexto ele surgiu, quais polı́ticas, projetos, ações, enfim, as diversas experiências de cultura digital que o antecederam, há a necessidade de aplicar um método. Mas antes de definı́-lo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vı́nculo com a administração pública federal, estabelece pontes com os demais entes federados, com os poderes executivo e legislativo, com as redes de ensino, com os órgãos de fomento cientı́fico e com as organizações sociais.</w:t>
      </w:r>
    </w:p>
    <w:p>
      <w:pPr>
        <w:pStyle w:val="BodyText"/>
      </w:pPr>
      <w:r>
        <w:t xml:space="preserve">É esta complexidade que exige uma visão sistêmica entre abordagem histórica, mapeamento de processos e levamentamento estatı́stico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8" w:name="X126fb420fc4edb0f749c9548750e9dc8dfc7b21"/>
      <w:r>
        <w:t xml:space="preserve">Revisão da evolução da historiografia</w:t>
      </w:r>
      <w:bookmarkEnd w:id="38"/>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capı́tulo de Materiais e Métodos, deixando para o capı́tulo de Resultadosa apresentação do discurso propriamente dito.</w:t>
      </w:r>
    </w:p>
    <w:p>
      <w:pPr>
        <w:pStyle w:val="BodyText"/>
      </w:pPr>
      <w:r>
        <w:t xml:space="preserve">Com base no método descrito no capı́tulo de Materiais e Métodos, qualquer outro poderá avaliar o escopo de validade das afirmações presentes no capı́tulo de Resultados.</w:t>
      </w:r>
    </w:p>
    <w:p>
      <w:pPr>
        <w:pStyle w:val="BodyText"/>
      </w:pPr>
      <w:r>
        <w:t xml:space="preserve">Mas a escolha do método de caracterização histórica do WASH aqui empregado precisa ter suas raı́zes em métodos pregressos, para aproveitar o conhecimento já existente na área de história. Por esse motivo, neste capı́tulo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atribuı́do a Heródoto no século V, assim como a estruturação da Históriacomo atividade profissional remonta ao inı́cio do século XIX, com a contribuição da Escola Histórica Prussiana.</w:t>
      </w:r>
    </w:p>
    <w:p>
      <w:pPr>
        <w:pStyle w:val="BodyText"/>
      </w:pPr>
      <w:r>
        <w:t xml:space="preserve">Como nos ensina Marczal (2016), Heródoto e Tucı́dides são muitas vezes reconhecidos como os primeiros a elaborar relatos historiográficos, pela obra que deixaram sobre os confrontos entre gregos e persas no século V a.c. ou da Guerra do Peloponeso, respectivamente. Heródoto chegou a ser considerado por Cı́cero como o pai da história.</w:t>
      </w:r>
    </w:p>
    <w:p>
      <w:pPr>
        <w:pStyle w:val="CaptionedFigure"/>
      </w:pPr>
      <w:bookmarkStart w:id="40" w:name="Xf71e2ef12fa604016fd4a9200ddad7a0a8f7d0b"/>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bookmarkEnd w:id="40"/>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Tucı́dides,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atribuı́da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bookmarkStart w:id="42" w:name="e978df58deaf86ca4da4073fca97b28afd4d3a3b"/>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41"/>
                    <a:stretch>
                      <a:fillRect/>
                    </a:stretch>
                  </pic:blipFill>
                  <pic:spPr bwMode="auto">
                    <a:xfrm>
                      <a:off x="0" y="0"/>
                      <a:ext cx="1358757" cy="1882739"/>
                    </a:xfrm>
                    <a:prstGeom prst="rect">
                      <a:avLst/>
                    </a:prstGeom>
                    <a:noFill/>
                    <a:ln w="9525">
                      <a:noFill/>
                      <a:headEnd/>
                      <a:tailEnd/>
                    </a:ln>
                  </pic:spPr>
                </pic:pic>
              </a:graphicData>
            </a:graphic>
          </wp:inline>
        </w:drawing>
      </w:r>
      <w:bookmarkEnd w:id="42"/>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atribuı́do a Ranke, tem como caracterı́stica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vestı́gios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evoluı́ram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cientı́fica, tratando a história como uma ciência metodologicamente rigorosa, tendo como modelo as ciências naturais seguindo o método das ciências fı́sicas.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crı́ticas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analı́tico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cientı́fico como dominante, sempre com ênfase em fatos empı́ricos (Firat, 1987), é evidente que na Escola de Annales a narrativa linear dos acontecimentos sai de cena (PIERANTI, 2022), dando espaço a uma metodologia crı́tica.</w:t>
      </w:r>
    </w:p>
    <w:p>
      <w:pPr>
        <w:pStyle w:val="BodyText"/>
      </w:pPr>
      <w:r>
        <w:t xml:space="preserve">Não obstante a riqueza de transformações do perı́odo em que a criação do WASH se insere, é claro que este trabalho não tem a pretensão de produzir uma narrativa histórica completa do perı́odo em que o Brasil transformou a inclusão digital numa polı́tica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especı́ficas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43" w:name="Governo Eletr\^onico"/>
      <w:r>
        <w:t xml:space="preserve">Governo Eletrônico</w:t>
      </w:r>
      <w:bookmarkEnd w:id="43"/>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analı́tica, embora a máquina, propriamente dita, não tenha sido efetivamente construı́da.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cientı́fico.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inı́cio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instituı́do no paı́s,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indivı́duo mais como cliente, ou como pagador de impostos [resenha acima], do que necessariamente um cidadão com direitos civis.</w:t>
      </w:r>
    </w:p>
    <w:p>
      <w:pPr>
        <w:pStyle w:val="BodyText"/>
      </w:pPr>
      <w:r>
        <w:t xml:space="preserve">Em que pese esse inı́cio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atribuı́rem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Vı́deo Texto. Muito antes do HTML, em meados da década de 80, o MINITEL e suas versões locais (Suécia, Irlanda, África do Sul, Canadá, Brasil, etc)[XXX} já eram extensivamente usadas. Na cidade de São Paulo o vı́deo texto da Telesp chegou a ter cerca de 70 mil assinantes [XXX].</w:t>
      </w:r>
    </w:p>
    <w:p>
      <w:pPr>
        <w:pStyle w:val="BodyText"/>
      </w:pPr>
      <w:r>
        <w:t xml:space="preserve">O Judiciário brasileiro inaugurou os serviços digitais para atendimento ao cidadão, já no inı́cio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inı́cio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inı́cio,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polı́tica da Presidência da República, com apoio técnico e gerencial da Secretaria de Logı́stica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acessı́veis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perı́odo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usufruı́a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disponı́veis.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polı́ticas públicas que os preparassem para usufruı́rem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polı́ticas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domı́nio de mouse e teclado [XXX], por exemplo, era oferecida.</w:t>
      </w:r>
    </w:p>
    <w:p>
      <w:pPr>
        <w:pStyle w:val="BodyText"/>
      </w:pPr>
      <w:r>
        <w:t xml:space="preserve">Um passo a frente, havia as capacitações direcionadas à interação com serviços especı́ficos,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espı́rito de manter a objetividade, e por sua relação direta na gênese do Projeto WASH, optou-se por focalizar a polı́tica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polı́ticas públicas com as caracterı́sticas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municı́pio de Campinas, na década de 90, e, em seguida, no âmbito do Governo Federal, nas primeiras duas décadas do presente século.</w:t>
      </w:r>
    </w:p>
    <w:p>
      <w:pPr>
        <w:pStyle w:val="BodyText"/>
      </w:pPr>
      <w:r>
        <w:t xml:space="preserve">32- Nessa trajetória foi possı́vel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perı́odo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tı́tulo de mestre no âmbito do mestrado profissional em ensino de ciências humanas, sociais e da natureza da Universidade Tecnológico Federal do Paraná - UTFPR- Campus Londrina/PR.</w:t>
      </w:r>
    </w:p>
    <w:p>
      <w:pPr>
        <w:pStyle w:val="Heading3"/>
      </w:pPr>
      <w:bookmarkStart w:id="44" w:name="Sociedade da Informa\c{c}\~ao"/>
      <w:r>
        <w:t xml:space="preserve">Sociedade da Informação</w:t>
      </w:r>
      <w:bookmarkEnd w:id="44"/>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atribuı́do,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fı́sica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5" w:name="Xebf4b7304ba2da75ef1da608b3965cc121840b3"/>
      <w:r>
        <w:t xml:space="preserve">Polı́ticas Públicas de Inclusão e Cultura Digital</w:t>
      </w:r>
      <w:bookmarkEnd w:id="45"/>
    </w:p>
    <w:p>
      <w:pPr>
        <w:pStyle w:val="FirstParagraph"/>
      </w:pPr>
      <w:r>
        <w:t xml:space="preserve">A partir de 2003 o Brasil estabeleceu polı́ticas agressivas de inclusão social, as quais evoluı́ram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paı́s tais como ....</w:t>
      </w:r>
    </w:p>
    <w:p>
      <w:pPr>
        <w:pStyle w:val="BodyText"/>
      </w:pPr>
      <w:r>
        <w:t xml:space="preserve">Esses paı́ses observaram que...</w:t>
      </w:r>
    </w:p>
    <w:p>
      <w:pPr>
        <w:pStyle w:val="Heading3"/>
      </w:pPr>
      <w:bookmarkStart w:id="46" w:name="Descri\c{c}\~ao do Programa WASH"/>
      <w:r>
        <w:t xml:space="preserve">Descrição do Programa WASH</w:t>
      </w:r>
      <w:bookmarkEnd w:id="46"/>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7" w:name="O pensamento de Papert"/>
      <w:r>
        <w:t xml:space="preserve">O pensamento de Papert</w:t>
      </w:r>
      <w:bookmarkEnd w:id="47"/>
    </w:p>
    <w:p>
      <w:pPr>
        <w:pStyle w:val="FirstParagraph"/>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Fundação CERTI da Universidade Federal de Santa Catarina</w:t>
      </w:r>
    </w:p>
    <w:p>
      <w:pPr>
        <w:pStyle w:val="BodyText"/>
      </w:pPr>
      <w:r>
        <w:t xml:space="preserve">Laboratório LSITec da Poli-USP</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BodyText"/>
      </w:pPr>
      <w:r>
        <w:t xml:space="preserve">Pela importância do pensamento de Papert para o OLPC e, portanto, para a gênese do WASH, cabe uma revisão rápida de sua obra e contribuições, permitindo uma melhor compreensão da inserção do WASH no universo conceitual das correntes pedagógicas.</w:t>
      </w:r>
    </w:p>
    <w:p>
      <w:pPr>
        <w:pStyle w:val="BodyText"/>
      </w:pPr>
      <w:r>
        <w:t xml:space="preserve">Seymour Papert, foi um cidadão sul-africano, oriundo de Petroia, radicado nos EUA.</w:t>
      </w:r>
    </w:p>
    <w:p>
      <w:pPr>
        <w:pStyle w:val="BodyText"/>
      </w:pPr>
      <w:r>
        <w:t xml:space="preserve">Cientista da computação, matemático, educador, foi um dos fundadores do Media Lab e diretor do grupo de Epistemologia e Aprendizado do Massachusetts Institute of Technology (MIT)</w:t>
      </w:r>
    </w:p>
    <w:p>
      <w:pPr>
        <w:pStyle w:val="BodyText"/>
      </w:pPr>
      <w:r>
        <w:t xml:space="preserve">Além de cientista da computação, professor de matemática, Papert foi um educador visionário percebeu o potencial do uso da tecnologia na educação, como ferramenta para os processos de ensino e aprendizagem.</w:t>
      </w:r>
    </w:p>
    <w:p>
      <w:pPr>
        <w:pStyle w:val="BodyText"/>
      </w:pPr>
      <w:r>
        <w:t xml:space="preserve">No final da década de 60, entre os anos de 1967 e 1968, perı́odo em que o uso do computador não era pensado para uso doméstico, Seymour Papert, criou o LOGO, uma linguagem de computação que propunha transformação na concepção de ensino e aprendizagem</w:t>
      </w:r>
    </w:p>
    <w:p>
      <w:pPr>
        <w:pStyle w:val="BodyText"/>
      </w:pPr>
      <w:r>
        <w:t xml:space="preserve">A linguagem LOGO foi desenvolvida para permitir que crianças programassem a máquina, em vez de serem programadas por ela. Essa proposta faz com que o computador deixa de ser o meio de transferir informação e passa a ser a ferramenta com a qual a criança pode formalizar os seus conhecimentos intuitivos</w:t>
      </w:r>
    </w:p>
    <w:p>
      <w:pPr>
        <w:pStyle w:val="BodyText"/>
      </w:pPr>
      <w:r>
        <w:t xml:space="preserve">Segundo José Armando Valente, Papert acreditava que o computador era a ferramenta que propiciava à criança as condições de entrar em contato com algumas das mais profundas ideias em ciência, matemática, e a criação de modelos” ( LOGO: computadores educação)</w:t>
      </w:r>
    </w:p>
    <w:p>
      <w:pPr>
        <w:pStyle w:val="BodyText"/>
      </w:pPr>
      <w:r>
        <w:t xml:space="preserve">No LOGO é possı́vel definir novos comandos, funções, é uma linguagem interativa, tem estrutura completa de listas. O LOGO não é um brinquedo, mas uma poderosa linguagem de computação, foi planejado para fornecer acesso a programação de computadores para principiantes e sem conhecimento matemático</w:t>
      </w:r>
    </w:p>
    <w:p>
      <w:pPr>
        <w:pStyle w:val="BodyText"/>
      </w:pPr>
      <w:r>
        <w:t xml:space="preserve">A linguagem da TARTARUGA é um subconjunto do LOGO que contem comandos.</w:t>
      </w:r>
    </w:p>
    <w:p>
      <w:pPr>
        <w:pStyle w:val="BodyText"/>
      </w:pPr>
      <w:r>
        <w:t xml:space="preserve">Na filosofia do LOGO, o aprendizado acontece por meio do processo de a criança inteligente</w:t>
      </w:r>
      <w:r>
        <w:t xml:space="preserve"> </w:t>
      </w:r>
      <w:r>
        <w:t xml:space="preserve">“</w:t>
      </w:r>
      <w:r>
        <w:t xml:space="preserve">ensinar</w:t>
      </w:r>
      <w:r>
        <w:t xml:space="preserve">”</w:t>
      </w:r>
      <w:r>
        <w:t xml:space="preserve"> </w:t>
      </w:r>
      <w:r>
        <w:t xml:space="preserve">o computador burro, ao invés de o computador inteligente ensinar a criança burra.</w:t>
      </w:r>
    </w:p>
    <w:p>
      <w:pPr>
        <w:pStyle w:val="BodyText"/>
      </w:pPr>
      <w:r>
        <w:t xml:space="preserve">Na perspectiva de Papert é a criança que deve programar o computador e, ao fazê-lo ela adquire um sentimento de domı́nio sobre um dos mais modernos e poderosos equipamentos tecnológicos</w:t>
      </w:r>
    </w:p>
    <w:p>
      <w:pPr>
        <w:pStyle w:val="BodyText"/>
      </w:pPr>
      <w:r>
        <w:t xml:space="preserve">Programar significa , nada mais, nada menos, comunicar-se com o computador numa linguagem que tanto ele quanto o homem podem entender” Toda criança normal aprende a falar. Por que então não deveria aprender a</w:t>
      </w:r>
      <w:r>
        <w:t xml:space="preserve"> </w:t>
      </w:r>
      <w:r>
        <w:t xml:space="preserve">“</w:t>
      </w:r>
      <w:r>
        <w:t xml:space="preserve"> </w:t>
      </w:r>
      <w:r>
        <w:t xml:space="preserve">falar</w:t>
      </w:r>
      <w:r>
        <w:t xml:space="preserve">”</w:t>
      </w:r>
      <w:r>
        <w:t xml:space="preserve"> </w:t>
      </w:r>
      <w:r>
        <w:t xml:space="preserve">com um computador?</w:t>
      </w:r>
    </w:p>
    <w:p>
      <w:pPr>
        <w:pStyle w:val="BodyText"/>
      </w:pPr>
      <w:r>
        <w:t xml:space="preserve">A proposta de Papert era de que o computador pode ser um interlocutor de matemática ou um interlocutor de lı́nguas</w:t>
      </w:r>
    </w:p>
    <w:p>
      <w:pPr>
        <w:pStyle w:val="BodyText"/>
      </w:pPr>
      <w:r>
        <w:t xml:space="preserve">O LOGO ao ser um interlocutor da matemática contribui de uma maneira lúdica para superar as barreiras matofóbicas ( fobia por matemática e fobia pelo aprendizado) e a matemática passa a ser uma lı́ngua viva.</w:t>
      </w:r>
    </w:p>
    <w:p>
      <w:pPr>
        <w:pStyle w:val="BodyText"/>
      </w:pPr>
      <w:r>
        <w:t xml:space="preserve">teste do papert</w:t>
      </w:r>
    </w:p>
    <w:p>
      <w:pPr>
        <w:pStyle w:val="Heading3"/>
      </w:pPr>
      <w:bookmarkStart w:id="48" w:name="O que \'e STEM?"/>
      <w:r>
        <w:t xml:space="preserve">O que é STEM?</w:t>
      </w:r>
      <w:bookmarkEnd w:id="48"/>
    </w:p>
    <w:p>
      <w:pPr>
        <w:pStyle w:val="FirstParagraph"/>
      </w:pPr>
      <w:r>
        <w:t xml:space="preserve">Vários autores [XXX Catterall, Heather Gonzalez e Tahlea Jankoski, Rodger Bybee] indicam a década de 90 do século passado como o inı́cio do uso estruturado do conceito de Science, Technology, Engineering and Mathematics em currı́culos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possı́vel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polı́tica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extraı́da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medı́ocres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paı́ses [XXX citar documento que explique o PISA]. Nos dias de hoje, estudantes de cerca de 65 paı́ses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paı́ses desenvolvidos, eram as de ciências, tecnologia e matemática [XXX Catterall]. Essa situação passou a representar incômodo para os gestores educacionais do paı́s,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substituı́do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9" w:name="X307e747ad1e47bedc6d08cd6ec6f6baea4b14d3"/>
      <w:r>
        <w:t xml:space="preserve">Fundamentação: caracterização do método</w:t>
      </w:r>
      <w:bookmarkEnd w:id="49"/>
    </w:p>
    <w:p>
      <w:pPr>
        <w:pStyle w:val="FirstParagraph"/>
      </w:pPr>
      <w:r>
        <w:t xml:space="preserve">Aqui vem a fundamentação para o o método de caracterização de métodos.</w:t>
      </w:r>
    </w:p>
    <w:p>
      <w:pPr>
        <w:pStyle w:val="Heading2"/>
      </w:pPr>
      <w:bookmarkStart w:id="50" w:name="X05e7e13ec5f759f3be54a1b2d806d361bf8a875"/>
      <w:r>
        <w:t xml:space="preserve">Fundamentação: caracterização dos resultados</w:t>
      </w:r>
      <w:bookmarkEnd w:id="50"/>
    </w:p>
    <w:p>
      <w:pPr>
        <w:pStyle w:val="FirstParagraph"/>
      </w:pPr>
      <w:r>
        <w:t xml:space="preserve">Nesta seção será descrito o embasamento para o trabalho de levantamento de resultados.</w:t>
      </w:r>
    </w:p>
    <w:p>
      <w:pPr>
        <w:pStyle w:val="Heading3"/>
      </w:pPr>
      <w:bookmarkStart w:id="51" w:name="Indicadores"/>
      <w:r>
        <w:t xml:space="preserve">Indicadores</w:t>
      </w:r>
      <w:bookmarkEnd w:id="51"/>
    </w:p>
    <w:p>
      <w:pPr>
        <w:pStyle w:val="FirstParagraph"/>
      </w:pPr>
      <w:r>
        <w:t xml:space="preserve">Segundo Rodrigues (2010) existe uma estreita e indissociávelrelação entre as palavras: medir, informar e indicador.</w:t>
      </w:r>
    </w:p>
    <w:p>
      <w:pPr>
        <w:pStyle w:val="BodyText"/>
      </w:pPr>
      <w:r>
        <w:t xml:space="preserve">Esta percepção de sinonı́mia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especı́fico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estatı́sticas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Para que os indicadores acima possam ser alcançados é preciso uma boa escolha da estruturação de dados, assunto que será tratado adiante.</w:t>
      </w:r>
    </w:p>
    <w:p>
      <w:pPr>
        <w:pStyle w:val="Heading3"/>
      </w:pPr>
      <w:bookmarkStart w:id="52" w:name="Informa\c{c}\~ao, dados e conhecimento"/>
      <w:r>
        <w:t xml:space="preserve">Informação, dados e conhecimento</w:t>
      </w:r>
      <w:bookmarkEnd w:id="5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possı́vel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paı́s também é um dado.</w:t>
      </w:r>
    </w:p>
    <w:p>
      <w:pPr>
        <w:pStyle w:val="BodyText"/>
      </w:pPr>
      <w:r>
        <w:t xml:space="preserve">Segundo Setzer e Silva (2017) o dado se transforma em informaçãoquando alguém é capaz de associar um conceito ao dado, estabelecendo uma compreensão humana sobre o que aquele sı́mbolo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indivı́duos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sı́mbolos só adquirem um caráter de informação quando passam a influenciar a probabilidade de sobrevivência do patrimônio genético de um indivı́duo. Esta visão fica explı́cita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extraı́das, com vistas à sua caracterização.</w:t>
      </w:r>
    </w:p>
    <w:p>
      <w:pPr>
        <w:pStyle w:val="BodyText"/>
      </w:pPr>
      <w:r>
        <w:t xml:space="preserve">O projeto WASH é profı́cuo na produção de dados, uma vez que atende uma quantidade muito grande de crianças, adolescentes e adultos. Estes dados estão distribuı́dos em várias localidades e se referem a atividades realizadas em instituições de variados tipos, cujas estruturas são muito diferentes uma das outras. Os tipos de atividades são muito variados, dependendo das caracterı́sticas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cientı́fico,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conversı́vel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nı́vel de confiança na sua capacidade de representar essas caracterı́sticas.</w:t>
      </w:r>
    </w:p>
    <w:p>
      <w:pPr>
        <w:pStyle w:val="Heading3"/>
      </w:pPr>
      <w:bookmarkStart w:id="53" w:name="Registro de dados na escola p\'ublica"/>
      <w:r>
        <w:t xml:space="preserve">Registro de dados na escola pública</w:t>
      </w:r>
      <w:bookmarkEnd w:id="5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caracterı́stica do Programa WASH que determina a forma como a coleta de dados precisará ser feita, e que podemos antecipar neste ponto do texto, é sua diferença em relação a outros programas de bolsas de iniciação cientı́fica.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caracterı́sticas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desta participação.</w:t>
      </w:r>
    </w:p>
    <w:p>
      <w:pPr>
        <w:pStyle w:val="BodyText"/>
      </w:pPr>
      <w:r>
        <w:t xml:space="preserve">Por ser um programa sem uma legislação especı́fica para o estabelecimento de obrigações entre os partı́cipes, o WASH tem que ocorrer no âmbito de organizações (escolas, associações, igrejas, sindicatos) que já seguem normas legais e infra-legais voltadas para garantir a proteção dos menores de idade participantes.</w:t>
      </w:r>
    </w:p>
    <w:p>
      <w:pPr>
        <w:pStyle w:val="BodyText"/>
      </w:pPr>
      <w:r>
        <w:t xml:space="preserve">Portanto, outra caracterı́stica do sistema de registro de participações de estudantes do WASH é ser flexı́vel o bastante para garantir a representação desse ambiente diverso institucionalmente, adaptando-se à realidade de cada instituição parceira.</w:t>
      </w:r>
    </w:p>
    <w:p>
      <w:pPr>
        <w:pStyle w:val="BodyText"/>
      </w:pPr>
      <w:r>
        <w:t xml:space="preserve">Podemos exemplificar o nı́vel de normatização da escola pública regular usando o caso do Estado de São Paulo, que, como em outros estados, tem legislação especı́fica detalhada sobre como registrar a presença de seus alunos nos bancos escolares.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especı́ficas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logı́sticas e de planejamento da escola. Com o controle de presença é possı́vel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54" w:name="X9b37c443831fa6ef74ef54a9a00efcd2be414e2"/>
      <w:r>
        <w:t xml:space="preserve">Planilhas eletrônicas para registro de dados</w:t>
      </w:r>
      <w:bookmarkEnd w:id="5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possı́vel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caracterı́sticas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tı́tulo) nos presenteia com algumas importantes reflexões:</w:t>
      </w:r>
    </w:p>
    <w:p>
      <w:pPr>
        <w:pStyle w:val="BodyText"/>
      </w:pPr>
      <w:r>
        <w:t xml:space="preserve">O nı́vel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especı́fica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inı́cio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especı́fica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flexı́veis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disponı́veis.</w:t>
      </w:r>
    </w:p>
    <w:p>
      <w:pPr>
        <w:pStyle w:val="BodyText"/>
      </w:pPr>
      <w:r>
        <w:t xml:space="preserve">as planilhas eletrônicas não são seguras, dado que não têm sistemas de autenticação (login). Uma vez distribuı́das,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difı́cil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difı́ceis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difı́cil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55" w:name="X67fbfb24abe879b3328dfb44cdaec70b353e4ee"/>
      <w:r>
        <w:t xml:space="preserve">[5cd49d846bb805576365031d3fdab9ef0126f66f]</w:t>
      </w:r>
      <w:bookmarkEnd w:id="55"/>
      <w:r>
        <w:t xml:space="preserve">Exemplo de cadastro de estudantes armazenado em planilha eletrônica.</w:t>
      </w:r>
    </w:p>
    <w:tbl>
      <w:tblPr>
        <w:tblStyle w:val="Table"/>
        <w:tblW w:type="pct" w:w="0.0"/>
        <w:tblLook w:firstRow="0"/>
        <w:tblCaption w:val="[5cd49d846bb805576365031d3fdab9ef0126f66f]Exemplo de cadastro de estudantes armazenado em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tı́pico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difı́cil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56" w:name="Xf2694f2b90d1cafc020c73b186270d009bd3669"/>
      <w:r>
        <w:t xml:space="preserve">[596fb4829283dadb41823939479c75b55fbd8223]</w:t>
      </w:r>
      <w:bookmarkEnd w:id="56"/>
      <w:r>
        <w:t xml:space="preserve">Deslocamento para esquerda de um conjunto de células de uma planilha eletrônica</w:t>
      </w:r>
    </w:p>
    <w:tbl>
      <w:tblPr>
        <w:tblStyle w:val="Table"/>
        <w:tblW w:type="pct" w:w="0.0"/>
        <w:tblLook w:firstRow="0"/>
        <w:tblCaption w:val="[596fb4829283dadb41823939479c75b55fbd8223]Deslocamento para esquerda de um conjunto de células de uma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difı́cil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57" w:name="Bancos de Dados Relacionais"/>
      <w:r>
        <w:t xml:space="preserve">Bancos de Dados Relacionais</w:t>
      </w:r>
      <w:bookmarkEnd w:id="5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prejuı́zo para o rigor e erudição.</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especı́fica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flexı́vel,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plausı́vel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58" w:name="a8397969db05eaba803013476324bfe9b2b94efb"/>
      <w:r>
        <w:t xml:space="preserve">[a8397969db05eaba803013476324bfe9b2b94efb]</w:t>
      </w:r>
      <w:bookmarkEnd w:id="58"/>
      <w:r>
        <w:t xml:space="preserve">Exemplo de tabela de um banco de dados relacional: cadastro de pessoas.</w:t>
      </w:r>
    </w:p>
    <w:tbl>
      <w:tblPr>
        <w:tblStyle w:val="Table"/>
        <w:tblW w:type="pct" w:w="0.0"/>
        <w:tblLook w:firstRow="0"/>
        <w:tblCaption w:val="[a8397969db05eaba803013476324bfe9b2b94efb]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caracterı́stica que pode ser atribuı́da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caracterı́sticas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constiuı́do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caracterı́stica que dá a robustez para o esse tipo de estrutura</w:t>
      </w:r>
    </w:p>
    <w:p>
      <w:pPr>
        <w:pStyle w:val="BodyText"/>
      </w:pPr>
      <w:r>
        <w:t xml:space="preserve">os valores de uma coluna de uma tabela são elementos de um só conjunto, denominado de domı́nio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domı́nio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nı́veis de formalização, seguindo integralmente ou em parte normas bastante especı́ficas (Setzer e Silva, 2017), dependendo das caracterı́sticas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59" w:name="a63c520e863da15e86e9e48af47b021078926fc7"/>
      <w:r>
        <w:t xml:space="preserve">[a63c520e863da15e86e9e48af47b021078926fc7]</w:t>
      </w:r>
      <w:bookmarkEnd w:id="59"/>
      <w:r>
        <w:t xml:space="preserve">Tabela de cidades num banco de dados relacional.</w:t>
      </w:r>
    </w:p>
    <w:tbl>
      <w:tblPr>
        <w:tblStyle w:val="Table"/>
        <w:tblW w:type="pct" w:w="0.0"/>
        <w:tblLook w:firstRow="0"/>
        <w:tblCaption w:val="[a63c520e863da15e86e9e48af47b021078926fc7]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60" w:name="d96a61f7f5e0d4d968398491b407ba7ac081ed8a"/>
      <w:r>
        <w:t xml:space="preserve">[d96a61f7f5e0d4d968398491b407ba7ac081ed8a]</w:t>
      </w:r>
      <w:bookmarkEnd w:id="60"/>
      <w:r>
        <w:t xml:space="preserve">Tabela para a representação de pessoas num banco de dados relacional</w:t>
      </w:r>
    </w:p>
    <w:tbl>
      <w:tblPr>
        <w:tblStyle w:val="Table"/>
        <w:tblW w:type="pct" w:w="0.0"/>
        <w:tblLook w:firstRow="0"/>
        <w:tblCaption w:val="[d96a61f7f5e0d4d968398491b407ba7ac081ed8a]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usufruı́rem.</w:t>
      </w:r>
    </w:p>
    <w:p>
      <w:pPr>
        <w:pStyle w:val="BodyText"/>
      </w:pPr>
      <w:r>
        <w:t xml:space="preserve">Além disso, essa proteção ocorre quando um novo cadastro é preenchido: o sistema apresenta para o usuário que está fazendo o preenchimento quais são as cidades disponı́veis na tabela de cidades para ele atribuir para o novo cadastrado. Desta forma, fica impossı́vel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impossı́vel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raciocı́nio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1"/>
      </w:pPr>
      <w:bookmarkStart w:id="61" w:name="MATERIAIS E M\'ETODOS"/>
      <w:r>
        <w:t xml:space="preserve">MATERIAIS E MÉTODOS</w:t>
      </w:r>
      <w:bookmarkEnd w:id="61"/>
    </w:p>
    <w:p>
      <w:pPr>
        <w:pStyle w:val="FirstParagraph"/>
      </w:pPr>
      <w:r>
        <w:t xml:space="preserve">Como já descrito na fundamentação teórica, o termo métodovem do étimo latino methodus(FREITAS, 2019), que significa caminho.</w:t>
      </w:r>
    </w:p>
    <w:p>
      <w:pPr>
        <w:pStyle w:val="BodyText"/>
      </w:pPr>
      <w:r>
        <w:t xml:space="preserve">Assim, o método aplicado na pesquisa pode ser entendido como o caminho percorrido para chegar nos resultados. Na ciência é muito importante que o caminho percorrido seja bem delineado, para que outros possam tentar percorrê-lo também, verificando a reprodutibilidade dos resultados obtidos pelos que por ali já passaram.</w:t>
      </w:r>
    </w:p>
    <w:p>
      <w:pPr>
        <w:pStyle w:val="BodyText"/>
      </w:pPr>
      <w:r>
        <w:t xml:space="preserve">É neste capı́tulo de Materiais e Métodosque serão descritos os vários caminhos percorridos até os resultados.</w:t>
      </w:r>
    </w:p>
    <w:p>
      <w:pPr>
        <w:pStyle w:val="BodyText"/>
      </w:pPr>
      <w:r>
        <w:t xml:space="preserve">Dizemos que são vários caminhosporque o presente trabalho requereu o desenvolvimento de métodos em variadas áreas do conhecimento, desde estrutura de dados até a historiografia, por exemplo.</w:t>
      </w:r>
    </w:p>
    <w:p>
      <w:pPr>
        <w:pStyle w:val="BodyText"/>
      </w:pPr>
      <w:r>
        <w:t xml:space="preserve">Na Fundamentação Teóricabuscamos preparar terreno para o presente capı́tulo, descrevendo lá uma parcela mais ampla do universo de métodos disponı́veis para o trabalho, dentre os quais foram escolhidos os que passamos a descrever a partir de agora.</w:t>
      </w:r>
    </w:p>
    <w:p>
      <w:pPr>
        <w:pStyle w:val="BodyText"/>
      </w:pPr>
      <w:r>
        <w:t xml:space="preserve">Em outras palavras, daqui para a frente este capı́tulo passa a descrever os métodos efetivamente empregados para obter os resultados que serão descritos no próximo capı́tulo.</w:t>
      </w:r>
    </w:p>
    <w:p>
      <w:pPr>
        <w:pStyle w:val="Heading2"/>
      </w:pPr>
      <w:bookmarkStart w:id="62" w:name="Xd6a92070258fd6b904d530a5f688cc297af1f79"/>
      <w:r>
        <w:t xml:space="preserve">Caminho para construção da narrativa histórica</w:t>
      </w:r>
      <w:bookmarkEnd w:id="62"/>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capı́tulo seja possı́vel encontrar o locus metodológico do método efetivamente empregado neste trabalho para a construção da narrativa histórica do Projeto WASH.</w:t>
      </w:r>
    </w:p>
    <w:p>
      <w:pPr>
        <w:pStyle w:val="Heading3"/>
      </w:pPr>
      <w:bookmarkStart w:id="63" w:name="M\'etodo de Historiografia Utilizado "/>
      <w:r>
        <w:t xml:space="preserve">Método de Historiografia Utilizado</w:t>
      </w:r>
      <w:r>
        <w:t xml:space="preserve"> </w:t>
      </w:r>
      <w:bookmarkEnd w:id="63"/>
    </w:p>
    <w:p>
      <w:pPr>
        <w:pStyle w:val="FirstParagraph"/>
      </w:pPr>
      <w:r>
        <w:t xml:space="preserve">Para estabelecer a história do WASH foi preciso fazer um levantamento de documentação da história do GESAC, do OLPC, et da blablabla</w:t>
      </w:r>
    </w:p>
    <w:p>
      <w:pPr>
        <w:pStyle w:val="Heading3"/>
      </w:pPr>
      <w:bookmarkStart w:id="64" w:name="Xfc89f1275f7d7875113e5f9d84d5327beac7e54"/>
      <w:r>
        <w:t xml:space="preserve">Acervo utilizado para o levantamento histórico</w:t>
      </w:r>
      <w:bookmarkEnd w:id="64"/>
    </w:p>
    <w:p>
      <w:pPr>
        <w:pStyle w:val="FirstParagraph"/>
      </w:pPr>
      <w:r>
        <w:t xml:space="preserve">Aqui serão descritos os elementos do acervo utilizado para o levantamento histórico.</w:t>
      </w:r>
    </w:p>
    <w:p>
      <w:pPr>
        <w:pStyle w:val="Heading2"/>
      </w:pPr>
      <w:bookmarkStart w:id="65" w:name="X48d501d7037da6bdd89c22436f28042042c44a8"/>
      <w:r>
        <w:t xml:space="preserve">Caminho para a Análise do Método do WASH</w:t>
      </w:r>
      <w:bookmarkEnd w:id="65"/>
    </w:p>
    <w:p>
      <w:pPr>
        <w:pStyle w:val="FirstParagraph"/>
      </w:pPr>
      <w:r>
        <w:t xml:space="preserve">Aqui são descritos os materias e métodos para a análise do método do WASH</w:t>
      </w:r>
    </w:p>
    <w:p>
      <w:pPr>
        <w:pStyle w:val="Heading3"/>
      </w:pPr>
      <w:bookmarkStart w:id="66" w:name="X47ebe13d168f20f85f6353234db2d794eca5457"/>
      <w:r>
        <w:t xml:space="preserve">Método de Caracterização do Método do WASH</w:t>
      </w:r>
      <w:bookmarkEnd w:id="66"/>
    </w:p>
    <w:p>
      <w:pPr>
        <w:pStyle w:val="FirstParagraph"/>
      </w:pPr>
      <w:r>
        <w:t xml:space="preserve">O método do WASH foi desenvolvido anteriormente ao inı́cio desta pesquisa, não fazendo parte do escopo dos resultados deste trabalho, muito embora tenhamos participado da concepção do WASH. O método do WASH começou a ser desenvolvido em 2013 e teve seu documento de referência publicado em meados de 2018, após anos de aprimoramento, como Anexo à Portaria CTI 178/2018.</w:t>
      </w:r>
    </w:p>
    <w:p>
      <w:pPr>
        <w:pStyle w:val="BodyText"/>
      </w:pPr>
      <w:r>
        <w:t xml:space="preserve">Considerando-se o tempo transcorrido desde à publicação de seu documento de referência, é razoável esperar que o WASH praticado nos dias de hoje tenha incorporado caracterı́sticas que não estavam previstas no documento de referência original.</w:t>
      </w:r>
    </w:p>
    <w:p>
      <w:pPr>
        <w:pStyle w:val="BodyText"/>
      </w:pPr>
      <w:r>
        <w:t xml:space="preserve">Assim, passa a ser imperioso que se faça uma caracterização do que de fato tem sido o WASH</w:t>
      </w:r>
    </w:p>
    <w:p>
      <w:pPr>
        <w:pStyle w:val="BodyText"/>
      </w:pPr>
      <w:r>
        <w:t xml:space="preserve">Para que essa caracterização do método do WASH seja possı́vel, é preciso estabelecer um método de caracterização.</w:t>
      </w:r>
    </w:p>
    <w:p>
      <w:pPr>
        <w:pStyle w:val="BodyText"/>
      </w:pPr>
      <w:r>
        <w:t xml:space="preserve">Por mais metalinguı́stico que possa parecer, foi preciso estabelecer um método de caracterização do método do WASH. Para evitar confusões de nomenclatura, esse método de caracterização do método do WASHpassará a ser referido, daqui em diante, simplesmente, como método da pesquisa.</w:t>
      </w:r>
    </w:p>
    <w:p>
      <w:pPr>
        <w:pStyle w:val="Heading3"/>
      </w:pPr>
      <w:bookmarkStart w:id="67" w:name="Xbd1c6afb05f6eecb94210880ccb74553f07ab89"/>
      <w:r>
        <w:t xml:space="preserve">Materiais para caracterização do método do WASH.</w:t>
      </w:r>
      <w:bookmarkEnd w:id="67"/>
    </w:p>
    <w:p>
      <w:pPr>
        <w:pStyle w:val="FirstParagraph"/>
      </w:pPr>
      <w:r>
        <w:t xml:space="preserve">Para caracterizar o método do WASH foram empregadas as ferramentas tal e tal, bem com o acervo documental tal e tal.</w:t>
      </w:r>
    </w:p>
    <w:p>
      <w:pPr>
        <w:pStyle w:val="Heading2"/>
      </w:pPr>
      <w:bookmarkStart w:id="68" w:name="X99f12d7e72af81a7e66b88448d60b79c38ec5a0"/>
      <w:r>
        <w:t xml:space="preserve">Caminho para a caracterização dos resultados do WASH</w:t>
      </w:r>
      <w:bookmarkEnd w:id="68"/>
    </w:p>
    <w:p>
      <w:pPr>
        <w:pStyle w:val="Heading3"/>
      </w:pPr>
      <w:bookmarkStart w:id="69" w:name="X93fe704dba732e1e1a44388d0db7f312a90e3fc"/>
      <w:r>
        <w:t xml:space="preserve">Método de Estruturação e análise dos dados</w:t>
      </w:r>
      <w:bookmarkEnd w:id="69"/>
    </w:p>
    <w:p>
      <w:pPr>
        <w:pStyle w:val="FirstParagraph"/>
      </w:pPr>
      <w:r>
        <w:t xml:space="preserve">Vimos no capı́tulo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debates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exercı́cios de registro de presença e de realização de oficinas, realizado por nós através de meios fı́sicos. Propusemos um sistema de testemunhos documentais para comprovar a realização das oficinas, colecionando notas em Diários de Bordo, fotografias, listas de presença e material de divulgação das oficinas.</w:t>
      </w:r>
    </w:p>
    <w:p>
      <w:pPr>
        <w:pStyle w:val="CaptionedFigure"/>
      </w:pPr>
      <w:bookmarkStart w:id="71" w:name="b43907f0fa6b6fb935e7384ab03b508859ff0609"/>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70"/>
                    <a:stretch>
                      <a:fillRect/>
                    </a:stretch>
                  </pic:blipFill>
                  <pic:spPr bwMode="auto">
                    <a:xfrm>
                      <a:off x="0" y="0"/>
                      <a:ext cx="2453640" cy="3901440"/>
                    </a:xfrm>
                    <a:prstGeom prst="rect">
                      <a:avLst/>
                    </a:prstGeom>
                    <a:noFill/>
                    <a:ln w="9525">
                      <a:noFill/>
                      <a:headEnd/>
                      <a:tailEnd/>
                    </a:ln>
                  </pic:spPr>
                </pic:pic>
              </a:graphicData>
            </a:graphic>
          </wp:inline>
        </w:drawing>
      </w:r>
      <w:bookmarkEnd w:id="71"/>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bookmarkStart w:id="73" w:name="b43907f0fa6b6fb935e7384ab03b508859ff0609"/>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72"/>
                    <a:stretch>
                      <a:fillRect/>
                    </a:stretch>
                  </pic:blipFill>
                  <pic:spPr bwMode="auto">
                    <a:xfrm>
                      <a:off x="0" y="0"/>
                      <a:ext cx="2630424" cy="3901440"/>
                    </a:xfrm>
                    <a:prstGeom prst="rect">
                      <a:avLst/>
                    </a:prstGeom>
                    <a:noFill/>
                    <a:ln w="9525">
                      <a:noFill/>
                      <a:headEnd/>
                      <a:tailEnd/>
                    </a:ln>
                  </pic:spPr>
                </pic:pic>
              </a:graphicData>
            </a:graphic>
          </wp:inline>
        </w:drawing>
      </w:r>
      <w:bookmarkEnd w:id="73"/>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bookmarkStart w:id="75" w:name="b43907f0fa6b6fb935e7384ab03b508859ff0609"/>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74"/>
                    <a:stretch>
                      <a:fillRect/>
                    </a:stretch>
                  </pic:blipFill>
                  <pic:spPr bwMode="auto">
                    <a:xfrm>
                      <a:off x="0" y="0"/>
                      <a:ext cx="5334000" cy="1949128"/>
                    </a:xfrm>
                    <a:prstGeom prst="rect">
                      <a:avLst/>
                    </a:prstGeom>
                    <a:noFill/>
                    <a:ln w="9525">
                      <a:noFill/>
                      <a:headEnd/>
                      <a:tailEnd/>
                    </a:ln>
                  </pic:spPr>
                </pic:pic>
              </a:graphicData>
            </a:graphic>
          </wp:inline>
        </w:drawing>
      </w:r>
      <w:bookmarkEnd w:id="75"/>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possı́vel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capı́tulo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inı́cio de 2019, passou a ser usada para gerar os indicadores do projeto, de forma rastreável, provendo meios confiáveis de prestar contas aos órgãos de fomento e de controle.</w:t>
      </w:r>
    </w:p>
    <w:p>
      <w:pPr>
        <w:pStyle w:val="BodyText"/>
      </w:pPr>
      <w:r>
        <w:t xml:space="preserve">A Platuósh foi sendo evoluı́da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deverı́amos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papeispassı́veis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cientı́fica,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inı́cio e a data do fim daquela afialiação.</w:t>
      </w:r>
    </w:p>
    <w:p>
      <w:pPr>
        <w:pStyle w:val="BodyText"/>
      </w:pPr>
      <w:r>
        <w:t xml:space="preserve">Este conjunto de tabelas exemplifica a lógica da modelagem que foi construı́da para representar os dados do WASH e começaremos mostrando o conteúdo (parcial) da tabela de cargos:</w:t>
      </w:r>
    </w:p>
    <w:p>
      <w:pPr>
        <w:pStyle w:val="TableCaption"/>
      </w:pPr>
      <w:bookmarkStart w:id="76" w:name="e5cf179ae59583298aebd0b2a2e840b9804c6758"/>
      <w:r>
        <w:t xml:space="preserve">[e5cf179ae59583298aebd0b2a2e840b9804c6758]</w:t>
      </w:r>
      <w:bookmarkEnd w:id="76"/>
      <w:r>
        <w:t xml:space="preserve">Visão parcial da tabela cargos da base de dados do WASH. A tabela completa tem 42 linhas com registros de cargos.</w:t>
      </w:r>
    </w:p>
    <w:tbl>
      <w:tblPr>
        <w:tblStyle w:val="Table"/>
        <w:tblW w:type="pct" w:w="0.0"/>
        <w:tblLook w:firstRow="0"/>
        <w:tblCaption w:val="[e5cf179ae59583298aebd0b2a2e840b9804c6758]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77" w:name="b06e02c80db14444111aca53b54190b29e3e2bac"/>
      <w:r>
        <w:t xml:space="preserve">[b06e02c80db14444111aca53b54190b29e3e2bac]</w:t>
      </w:r>
      <w:bookmarkEnd w:id="77"/>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b06e02c80db14444111aca53b54190b29e3e2bac]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Carapicuı́ba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Jacareı́/SP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78" w:name="da795407f30b81295f1892e346a5056ebb3ad5cc"/>
      <w:r>
        <w:t xml:space="preserve">[da795407f30b81295f1892e346a5056ebb3ad5cc]</w:t>
      </w:r>
      <w:bookmarkEnd w:id="78"/>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da795407f30b81295f1892e346a5056ebb3ad5cc]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79" w:name="X17be6e82b13a686680652440ff8e1064537ca30"/>
      <w:r>
        <w:t xml:space="preserve">[888dcbd207ec3c4145a4093c14afbbe128bf67af]</w:t>
      </w:r>
      <w:bookmarkEnd w:id="79"/>
      <w:r>
        <w:t xml:space="preserve">Subconjunto de registro da tabela afiliacoes, onde foram selecionados apenas os dados do participante que tem identificador 2 na tabela participantes2.</w:t>
      </w:r>
    </w:p>
    <w:tbl>
      <w:tblPr>
        <w:tblStyle w:val="Table"/>
        <w:tblW w:type="pct" w:w="0.0"/>
        <w:tblLook w:firstRow="0"/>
        <w:tblCaption w:val="[888dcbd207ec3c4145a4093c14afbbe128bf67af]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perı́odo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perı́odo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vı́nculos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flexı́vel e adaptável às suas diversas parcerias, o sistema de armazenamento de dados do WASH precisou criar 54 tabelas, que são mostradas a seguir:</w:t>
      </w:r>
    </w:p>
    <w:p>
      <w:pPr>
        <w:pStyle w:val="TableCaption"/>
      </w:pPr>
      <w:bookmarkStart w:id="80" w:name="ae9b2d69e43e45d93e0f8dd3f22a4ccbf44c76f0"/>
      <w:r>
        <w:t xml:space="preserve">[ae9b2d69e43e45d93e0f8dd3f22a4ccbf44c76f0]</w:t>
      </w:r>
      <w:bookmarkEnd w:id="80"/>
      <w:r>
        <w:t xml:space="preserve">O bando de dados relacional subjacente ‘a Plataforma de Gestão do WASH é constituído por 54 tabelas.</w:t>
      </w:r>
    </w:p>
    <w:tbl>
      <w:tblPr>
        <w:tblStyle w:val="Table"/>
        <w:tblW w:type="pct" w:w="0.0"/>
        <w:tblLook w:firstRow="0"/>
        <w:tblCaption w:val="[ae9b2d69e43e45d93e0f8dd3f22a4ccbf44c76f0]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81" w:name="Xcbd0c9e325c27a506bb074600ac518d635818cb"/>
      <w:r>
        <w:t xml:space="preserve">Método de determinação do gênero dos participantes</w:t>
      </w:r>
      <w:bookmarkEnd w:id="81"/>
    </w:p>
    <w:p>
      <w:pPr>
        <w:pStyle w:val="FirstParagraph"/>
      </w:pPr>
      <w:r>
        <w:t xml:space="preserve">A questão de armazenagem de dados de gênero no WASH ainda não está devidamente equacionada e esta situação tem a ver com a forma como os dados eram armazenados no inı́cio do projeto, assunto que passa a ser tratado a seguir.</w:t>
      </w:r>
    </w:p>
    <w:p>
      <w:pPr>
        <w:pStyle w:val="BodyText"/>
      </w:pPr>
      <w:r>
        <w:t xml:space="preserve">É possı́vel identificar vários momentos na forma como o WASH armazenou seus dados ao longo de 9 anos. Como já comentando na seção anterior, logo no inı́cio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por assim dizer, timidezem coletar dados pode ser atribuı́da ao fato do projeto ocorrer no contexto do serviço público, sem um mandato especı́fico para coleta de dados cadastrais mais detalhados.</w:t>
      </w:r>
    </w:p>
    <w:p>
      <w:pPr>
        <w:pStyle w:val="BodyText"/>
      </w:pPr>
      <w:r>
        <w:t xml:space="preserve">Assim, é possı́vel constatar a busca em restringir a coleta de dados para os propósitos do projeto, a saber: contabilizar o número de participantes, evitar a contabilização dupla de participantes, identificar os responsáveis, registrar autorizações de uso de imagens, etc., propósitos estes já bastante mencionados até este ponto.</w:t>
      </w:r>
    </w:p>
    <w:p>
      <w:pPr>
        <w:pStyle w:val="BodyText"/>
      </w:pPr>
      <w:r>
        <w:t xml:space="preserve">Assim, por este motivo, desde o inı́cio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construı́dos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possı́vel levar em conta a autodeclaração de gênero dos indivı́duos participantes, simplesmente porque esta auto-declaração não havia sido solicitada aos participantes.</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sabia sobre o participante, no que se refere a gênero, é o que o seu primeiro nome poderia contar.</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modalidades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mais oportunizada no Brasil e no mundo (Kijima et al., 2021), desprivilegiando a presença feminina. Portanto, ao WASH era preciso verificar, da melhor forma possı́vel,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capı́tulo de Resultados e Análise, os dados analisados segundo o método de identificação de primeiros nomes, pelo menos ao que se refere a masculino e feminino, mostram que estes vı́cios e tendências não estão presentes no projeto WASH, havendo um relativo equilı́brio entre o atendimento a homens e mulheres. Infelizmente, o método utilizado não permite identificar a qualidade do atendimento do projeto junto à comunidade LGBTQI ,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BodyText"/>
      </w:pPr>
      <w:r>
        <w:t xml:space="preserve">Não obstante a deficiência identificada, em nenhum momento após a classificação de gênero por meio de primeiros nomes, houve a atribuição de gênero aos cadastros existentes, evitando a estigmatização dos participantes que não reconhecem o primeiro nome como forma de identificação de seu gênero.</w:t>
      </w:r>
    </w:p>
    <w:p>
      <w:pPr>
        <w:pStyle w:val="Heading1"/>
      </w:pPr>
      <w:bookmarkStart w:id="82" w:name="RESULTADOS E DISCUSS\~OES"/>
      <w:r>
        <w:t xml:space="preserve">RESULTADOS E DISCUSSÕES</w:t>
      </w:r>
      <w:bookmarkEnd w:id="82"/>
    </w:p>
    <w:p>
      <w:pPr>
        <w:pStyle w:val="FirstParagraph"/>
      </w:pPr>
      <w:r>
        <w:t xml:space="preserve">É neste ponto do texto que alcançamos o final dos caminhos percorridos (métodos) descritos no capı́tulo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sı́ntese que integrará os achados das 3 dimensões.</w:t>
      </w:r>
    </w:p>
    <w:p>
      <w:pPr>
        <w:pStyle w:val="Heading2"/>
      </w:pPr>
      <w:bookmarkStart w:id="83" w:name="Xe341a673c7992a2d727efd672ef004e0e6f6c41"/>
      <w:r>
        <w:t xml:space="preserve">Narrativas contruı́das a partir do método historiográfico</w:t>
      </w:r>
      <w:bookmarkEnd w:id="83"/>
    </w:p>
    <w:p>
      <w:pPr>
        <w:pStyle w:val="FirstParagraph"/>
      </w:pPr>
      <w:r>
        <w:t xml:space="preserve">Aqui são apresentadas as narrativas construı́das a partir da aplicação do método historiográfico.</w:t>
      </w:r>
    </w:p>
    <w:p>
      <w:pPr>
        <w:pStyle w:val="Heading3"/>
      </w:pPr>
      <w:bookmarkStart w:id="84" w:name="Narrativa do GESAC"/>
      <w:r>
        <w:t xml:space="preserve">Narrativa do GESAC</w:t>
      </w:r>
      <w:bookmarkEnd w:id="84"/>
    </w:p>
    <w:p>
      <w:pPr>
        <w:pStyle w:val="FirstParagraph"/>
      </w:pPr>
      <w:r>
        <w:t xml:space="preserve">Aqui fazemos a narrativa histórica do GESAC com base no método historiográfico empregado sobre os acervos de Elaine.</w:t>
      </w:r>
    </w:p>
    <w:p>
      <w:pPr>
        <w:pStyle w:val="Heading3"/>
      </w:pPr>
      <w:bookmarkStart w:id="85" w:name="Narrativa do OLPC"/>
      <w:r>
        <w:t xml:space="preserve">Narrativa do OLPC</w:t>
      </w:r>
      <w:bookmarkEnd w:id="85"/>
    </w:p>
    <w:p>
      <w:pPr>
        <w:pStyle w:val="FirstParagraph"/>
      </w:pPr>
      <w:r>
        <w:t xml:space="preserve">Aqui fazemos a narrativa histórica do OLPC com base no método historiográfico empregado sobre os acervos de Victor.</w:t>
      </w:r>
    </w:p>
    <w:p>
      <w:pPr>
        <w:pStyle w:val="Heading3"/>
      </w:pPr>
      <w:bookmarkStart w:id="86" w:name="Xa5ba82550696f4b5c99983dd4637529ef3790a1"/>
      <w:r>
        <w:t xml:space="preserve">Narrativa sobre a Papert e Brasil (Afira)</w:t>
      </w:r>
      <w:bookmarkEnd w:id="86"/>
    </w:p>
    <w:p>
      <w:pPr>
        <w:pStyle w:val="FirstParagraph"/>
      </w:pPr>
      <w:r>
        <w:t xml:space="preserve">Aqui fazemos a narrativa histórica do Afira com base no método historiográfico empregado na entrevista de Afira.</w:t>
      </w:r>
    </w:p>
    <w:p>
      <w:pPr>
        <w:pStyle w:val="Heading2"/>
      </w:pPr>
      <w:bookmarkStart w:id="87" w:name="Caracterizacao do M\'etodo do WASH"/>
      <w:r>
        <w:t xml:space="preserve">Caracterizacao do Método do WASH</w:t>
      </w:r>
      <w:bookmarkEnd w:id="87"/>
    </w:p>
    <w:p>
      <w:pPr>
        <w:pStyle w:val="FirstParagraph"/>
      </w:pPr>
      <w:r>
        <w:t xml:space="preserve">Aqui são descritos os resultados da aplicação do método de caracterização do método do WASH.</w:t>
      </w:r>
    </w:p>
    <w:p>
      <w:pPr>
        <w:pStyle w:val="Heading2"/>
      </w:pPr>
      <w:bookmarkStart w:id="88" w:name="X7a562e856b97a82b9d7d3cc88bbac6cbcdc138f"/>
      <w:r>
        <w:t xml:space="preserve">Caracterização dos Resultados do WASH</w:t>
      </w:r>
      <w:bookmarkEnd w:id="88"/>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perı́odo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construı́das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89" w:name="Amostragem do p\'ublico atendido"/>
      <w:r>
        <w:t xml:space="preserve">Amostragem do público atendido</w:t>
      </w:r>
      <w:bookmarkEnd w:id="89"/>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capı́tulo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compreensı́vel.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estatı́stica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Capı́tulo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perı́odo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possı́vel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construı́da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possı́vel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possı́vel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possı́vel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possı́vel considerar que muitas oficinas do projeto foram realizadas em recintos sem controle de entrada, impedindo que um cadastro individualizado fosse feito.</w:t>
      </w:r>
    </w:p>
    <w:p>
      <w:pPr>
        <w:pStyle w:val="BodyText"/>
      </w:pPr>
      <w:r>
        <w:t xml:space="preserve">Mas esta afirmação não teria validade se não fosse possı́vel apresentar evidências de eventos com essas caracterı́sticas,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fı́sica.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possı́vel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Famı́lia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bookmarkStart w:id="91" w:name="d76eb1e41d3d1e1394e18aafa3beb2bc3ad09471"/>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90"/>
                    <a:stretch>
                      <a:fillRect/>
                    </a:stretch>
                  </pic:blipFill>
                  <pic:spPr bwMode="auto">
                    <a:xfrm>
                      <a:off x="0" y="0"/>
                      <a:ext cx="5334000" cy="3553132"/>
                    </a:xfrm>
                    <a:prstGeom prst="rect">
                      <a:avLst/>
                    </a:prstGeom>
                    <a:noFill/>
                    <a:ln w="9525">
                      <a:noFill/>
                      <a:headEnd/>
                      <a:tailEnd/>
                    </a:ln>
                  </pic:spPr>
                </pic:pic>
              </a:graphicData>
            </a:graphic>
          </wp:inline>
        </w:drawing>
      </w:r>
      <w:bookmarkEnd w:id="91"/>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93"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92"/>
                    <a:stretch>
                      <a:fillRect/>
                    </a:stretch>
                  </pic:blipFill>
                  <pic:spPr bwMode="auto">
                    <a:xfrm>
                      <a:off x="0" y="0"/>
                      <a:ext cx="5334000" cy="3555111"/>
                    </a:xfrm>
                    <a:prstGeom prst="rect">
                      <a:avLst/>
                    </a:prstGeom>
                    <a:noFill/>
                    <a:ln w="9525">
                      <a:noFill/>
                      <a:headEnd/>
                      <a:tailEnd/>
                    </a:ln>
                  </pic:spPr>
                </pic:pic>
              </a:graphicData>
            </a:graphic>
          </wp:inline>
        </w:drawing>
      </w:r>
      <w:bookmarkEnd w:id="93"/>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95"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94"/>
                    <a:stretch>
                      <a:fillRect/>
                    </a:stretch>
                  </pic:blipFill>
                  <pic:spPr bwMode="auto">
                    <a:xfrm>
                      <a:off x="0" y="0"/>
                      <a:ext cx="5334000" cy="3555111"/>
                    </a:xfrm>
                    <a:prstGeom prst="rect">
                      <a:avLst/>
                    </a:prstGeom>
                    <a:noFill/>
                    <a:ln w="9525">
                      <a:noFill/>
                      <a:headEnd/>
                      <a:tailEnd/>
                    </a:ln>
                  </pic:spPr>
                </pic:pic>
              </a:graphicData>
            </a:graphic>
          </wp:inline>
        </w:drawing>
      </w:r>
      <w:bookmarkEnd w:id="95"/>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97"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96"/>
                    <a:stretch>
                      <a:fillRect/>
                    </a:stretch>
                  </pic:blipFill>
                  <pic:spPr bwMode="auto">
                    <a:xfrm>
                      <a:off x="0" y="0"/>
                      <a:ext cx="5334000" cy="4000500"/>
                    </a:xfrm>
                    <a:prstGeom prst="rect">
                      <a:avLst/>
                    </a:prstGeom>
                    <a:noFill/>
                    <a:ln w="9525">
                      <a:noFill/>
                      <a:headEnd/>
                      <a:tailEnd/>
                    </a:ln>
                  </pic:spPr>
                </pic:pic>
              </a:graphicData>
            </a:graphic>
          </wp:inline>
        </w:drawing>
      </w:r>
      <w:bookmarkEnd w:id="97"/>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99"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98"/>
                    <a:stretch>
                      <a:fillRect/>
                    </a:stretch>
                  </pic:blipFill>
                  <pic:spPr bwMode="auto">
                    <a:xfrm>
                      <a:off x="0" y="0"/>
                      <a:ext cx="5334000" cy="4000500"/>
                    </a:xfrm>
                    <a:prstGeom prst="rect">
                      <a:avLst/>
                    </a:prstGeom>
                    <a:noFill/>
                    <a:ln w="9525">
                      <a:noFill/>
                      <a:headEnd/>
                      <a:tailEnd/>
                    </a:ln>
                  </pic:spPr>
                </pic:pic>
              </a:graphicData>
            </a:graphic>
          </wp:inline>
        </w:drawing>
      </w:r>
      <w:bookmarkEnd w:id="99"/>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1" w:name="d76eb1e41d3d1e1394e18aafa3beb2bc3ad09471"/>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00"/>
                    <a:stretch>
                      <a:fillRect/>
                    </a:stretch>
                  </pic:blipFill>
                  <pic:spPr bwMode="auto">
                    <a:xfrm>
                      <a:off x="0" y="0"/>
                      <a:ext cx="5334000" cy="2917031"/>
                    </a:xfrm>
                    <a:prstGeom prst="rect">
                      <a:avLst/>
                    </a:prstGeom>
                    <a:noFill/>
                    <a:ln w="9525">
                      <a:noFill/>
                      <a:headEnd/>
                      <a:tailEnd/>
                    </a:ln>
                  </pic:spPr>
                </pic:pic>
              </a:graphicData>
            </a:graphic>
          </wp:inline>
        </w:drawing>
      </w:r>
      <w:bookmarkEnd w:id="101"/>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3" w:name="Xa803a6e15d84840f10eabc920266845218d917c"/>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02"/>
                    <a:stretch>
                      <a:fillRect/>
                    </a:stretch>
                  </pic:blipFill>
                  <pic:spPr bwMode="auto">
                    <a:xfrm>
                      <a:off x="0" y="0"/>
                      <a:ext cx="5334000" cy="3554610"/>
                    </a:xfrm>
                    <a:prstGeom prst="rect">
                      <a:avLst/>
                    </a:prstGeom>
                    <a:noFill/>
                    <a:ln w="9525">
                      <a:noFill/>
                      <a:headEnd/>
                      <a:tailEnd/>
                    </a:ln>
                  </pic:spPr>
                </pic:pic>
              </a:graphicData>
            </a:graphic>
          </wp:inline>
        </w:drawing>
      </w:r>
      <w:bookmarkEnd w:id="103"/>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imprescindı́veis para extrair importantes informações sobre o projeto. Entre elas está o seu crescimento orgânico e o impacto da pandemia, por exemplo, o que pode ser verificado no gráfico a seguir.</w:t>
      </w:r>
    </w:p>
    <w:p>
      <w:pPr>
        <w:pStyle w:val="Heading3"/>
      </w:pPr>
      <w:bookmarkStart w:id="104" w:name="Xa5865a8ca983adc7595716f726d41283eb57396"/>
      <w:r>
        <w:t xml:space="preserve">Evolução temporal do número de participações</w:t>
      </w:r>
      <w:bookmarkEnd w:id="104"/>
    </w:p>
    <w:p>
      <w:pPr>
        <w:pStyle w:val="FirstParagraph"/>
      </w:pPr>
      <w:r>
        <w:t xml:space="preserve">Na seção anterior foi mostrado que os dados de participantes presentes na Platuósh são uma amostra do total de participantes, uma vez que há eventos em que não foi possı́vel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bookmarkStart w:id="106"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05"/>
                    <a:stretch>
                      <a:fillRect/>
                    </a:stretch>
                  </pic:blipFill>
                  <pic:spPr bwMode="auto">
                    <a:xfrm>
                      <a:off x="0" y="0"/>
                      <a:ext cx="5334000" cy="7112000"/>
                    </a:xfrm>
                    <a:prstGeom prst="rect">
                      <a:avLst/>
                    </a:prstGeom>
                    <a:noFill/>
                    <a:ln w="9525">
                      <a:noFill/>
                      <a:headEnd/>
                      <a:tailEnd/>
                    </a:ln>
                  </pic:spPr>
                </pic:pic>
              </a:graphicData>
            </a:graphic>
          </wp:inline>
        </w:drawing>
      </w:r>
      <w:bookmarkEnd w:id="106"/>
    </w:p>
    <w:p>
      <w:pPr>
        <w:pStyle w:val="ImageCaption"/>
      </w:pPr>
      <w:r>
        <w:t xml:space="preserve">Evolução anual da média de participações por participante.</w:t>
      </w:r>
    </w:p>
    <w:p>
      <w:pPr>
        <w:pStyle w:val="CaptionedFigure"/>
      </w:pPr>
      <w:bookmarkStart w:id="108"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07"/>
                    <a:stretch>
                      <a:fillRect/>
                    </a:stretch>
                  </pic:blipFill>
                  <pic:spPr bwMode="auto">
                    <a:xfrm>
                      <a:off x="0" y="0"/>
                      <a:ext cx="5334000" cy="7112000"/>
                    </a:xfrm>
                    <a:prstGeom prst="rect">
                      <a:avLst/>
                    </a:prstGeom>
                    <a:noFill/>
                    <a:ln w="9525">
                      <a:noFill/>
                      <a:headEnd/>
                      <a:tailEnd/>
                    </a:ln>
                  </pic:spPr>
                </pic:pic>
              </a:graphicData>
            </a:graphic>
          </wp:inline>
        </w:drawing>
      </w:r>
      <w:bookmarkEnd w:id="108"/>
    </w:p>
    <w:p>
      <w:pPr>
        <w:pStyle w:val="ImageCaption"/>
      </w:pPr>
      <w:r>
        <w:t xml:space="preserve">Evolução anual da média de participações por participante.</w:t>
      </w:r>
    </w:p>
    <w:p>
      <w:pPr>
        <w:pStyle w:val="CaptionedFigure"/>
      </w:pPr>
      <w:bookmarkStart w:id="110"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09"/>
                    <a:stretch>
                      <a:fillRect/>
                    </a:stretch>
                  </pic:blipFill>
                  <pic:spPr bwMode="auto">
                    <a:xfrm>
                      <a:off x="0" y="0"/>
                      <a:ext cx="5334000" cy="7112000"/>
                    </a:xfrm>
                    <a:prstGeom prst="rect">
                      <a:avLst/>
                    </a:prstGeom>
                    <a:noFill/>
                    <a:ln w="9525">
                      <a:noFill/>
                      <a:headEnd/>
                      <a:tailEnd/>
                    </a:ln>
                  </pic:spPr>
                </pic:pic>
              </a:graphicData>
            </a:graphic>
          </wp:inline>
        </w:drawing>
      </w:r>
      <w:bookmarkEnd w:id="110"/>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indivı́duos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11" w:name="X59ec3450dc72e32babe1f94083152547a0ee42a"/>
      <w:r>
        <w:t xml:space="preserve">Distribuição de partipantes por sexo</w:t>
      </w:r>
      <w:bookmarkEnd w:id="111"/>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equilı́brio no atendimento a participantes do sexo masculino e do sexo feminino.</w:t>
      </w:r>
    </w:p>
    <w:p>
      <w:pPr>
        <w:pStyle w:val="BodyText"/>
      </w:pPr>
      <w:r>
        <w:t xml:space="preserve">Mas esta análise, como antecipado no capı́tulo de Materiais e Métodos, não foi planejada no inı́cio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incluı́do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outrosé incrementado.</w:t>
      </w:r>
    </w:p>
    <w:p>
      <w:pPr>
        <w:pStyle w:val="BodyText"/>
      </w:pPr>
      <w:r>
        <w:t xml:space="preserve">O gráfico abaixo mostra a distribuição de gêneros masculinos, femininos, desconhecidos e outros no universo de participantes do WASH. Nota-se um equilı́brio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equilı́brio é de caráter amostral e não absoluto, podendo haver situações em que para determinada faixa etária, um gênero prevaleça sobre o outro.</w:t>
      </w:r>
    </w:p>
    <w:p>
      <w:pPr>
        <w:pStyle w:val="CaptionedFigure"/>
      </w:pPr>
      <w:bookmarkStart w:id="113" w:name="ef11d820efb73d78fb64eb6bdd03853471a8e89f"/>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12"/>
                    <a:stretch>
                      <a:fillRect/>
                    </a:stretch>
                  </pic:blipFill>
                  <pic:spPr bwMode="auto">
                    <a:xfrm>
                      <a:off x="0" y="0"/>
                      <a:ext cx="5334000" cy="4607636"/>
                    </a:xfrm>
                    <a:prstGeom prst="rect">
                      <a:avLst/>
                    </a:prstGeom>
                    <a:noFill/>
                    <a:ln w="9525">
                      <a:noFill/>
                      <a:headEnd/>
                      <a:tailEnd/>
                    </a:ln>
                  </pic:spPr>
                </pic:pic>
              </a:graphicData>
            </a:graphic>
          </wp:inline>
        </w:drawing>
      </w:r>
      <w:bookmarkEnd w:id="113"/>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14" w:name="N\'umero de Bolsistas"/>
      <w:r>
        <w:t xml:space="preserve">Número de Bolsistas</w:t>
      </w:r>
      <w:bookmarkEnd w:id="114"/>
    </w:p>
    <w:p>
      <w:pPr>
        <w:pStyle w:val="FirstParagraph"/>
      </w:pPr>
      <w:r>
        <w:t xml:space="preserve">O método do WASH, descrito na Portaria CTI 178/2018, pressupõe a atuação de bolsistas de iniciação cientı́fica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cientı́ficos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disponı́vel apenas a partir de 2018, razão pela qual não cobre todo o perı́odo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vı́nculo dos bolsistas com o CNPq é formal e ocorre mediante Termo de Outorga, havendo meios de obter dados absolutos e não-amostrais.</w:t>
      </w:r>
    </w:p>
    <w:p>
      <w:pPr>
        <w:pStyle w:val="BodyText"/>
      </w:pPr>
      <w:r>
        <w:t xml:space="preserve">Contando com o apoio do Coordenador do Projeto WASH, foi possı́vel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acessı́vel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15" w:name="X0c5895f914c8911641c546d7212b2ab24e12832"/>
      <w:r>
        <w:t xml:space="preserve">Caracterização dos Planos de Trabalhos e Relatórios</w:t>
      </w:r>
      <w:bookmarkEnd w:id="115"/>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cientı́fica que segue a mesma estrutura definida no primeiro capı́tulo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especı́fico conduzido por esta candidata, com base em dados objetivos da Plataforma Carlos Chagas do CNPq, a fonte mais confiável de dados para esse tipo de caracterização.</w:t>
      </w:r>
    </w:p>
    <w:p>
      <w:pPr>
        <w:pStyle w:val="Heading3"/>
      </w:pPr>
      <w:bookmarkStart w:id="116" w:name="Xc322c32e8cb1b27f70e4a86a01000bda7e5d34e"/>
      <w:r>
        <w:t xml:space="preserve">Distribuição de temas em relatórios</w:t>
      </w:r>
      <w:bookmarkEnd w:id="116"/>
    </w:p>
    <w:p>
      <w:pPr>
        <w:pStyle w:val="FirstParagraph"/>
      </w:pPr>
      <w:r>
        <w:t xml:space="preserve">participantes</w:t>
      </w:r>
    </w:p>
    <w:p>
      <w:pPr>
        <w:pStyle w:val="Heading3"/>
      </w:pPr>
      <w:bookmarkStart w:id="117" w:name="N\'umero de oficinas realizadas"/>
      <w:r>
        <w:t xml:space="preserve">Número de oficinas realizadas</w:t>
      </w:r>
      <w:bookmarkEnd w:id="117"/>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1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19" w:name="X22ec0ef5e64944157c91c0e6031260fbf53f91e"/>
      <w:r>
        <w:t xml:space="preserve">[8af5236ba8f91623157f8f95ae10366b416d6049]</w:t>
      </w:r>
      <w:bookmarkEnd w:id="119"/>
      <w:r>
        <w:t xml:space="preserve">Evolução anual do número de oficinas realizadas.</w:t>
      </w:r>
    </w:p>
    <w:p>
      <w:pPr>
        <w:pStyle w:val="Heading3"/>
      </w:pPr>
      <w:bookmarkStart w:id="120" w:name="Distribui\c{c}\~ao et\'aria nas oficinas"/>
      <w:r>
        <w:t xml:space="preserve">Distribuição etária nas oficinas</w:t>
      </w:r>
      <w:bookmarkEnd w:id="120"/>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2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22" w:name="X909141ea7248b82a7c4362ade6b792f214d0386"/>
      <w:r>
        <w:t xml:space="preserve">[978341992d3d49498d48c41acc77f05f08f49ead]</w:t>
      </w:r>
      <w:bookmarkEnd w:id="122"/>
      <w:r>
        <w:t xml:space="preserve">Distribuição etária dos participantes, ano a ano.</w:t>
      </w:r>
    </w:p>
    <w:p>
      <w:pPr>
        <w:pStyle w:val="Heading3"/>
      </w:pPr>
      <w:bookmarkStart w:id="123" w:name="Distribui\c{c}\~ao de temas nas oficinas"/>
      <w:r>
        <w:t xml:space="preserve">Distribuição de temas nas oficinas</w:t>
      </w:r>
      <w:bookmarkEnd w:id="123"/>
    </w:p>
    <w:p>
      <w:pPr>
        <w:pStyle w:val="FirstParagraph"/>
      </w:pPr>
      <w:r>
        <w:t xml:space="preserve">participantes</w:t>
      </w:r>
    </w:p>
    <w:p>
      <w:pPr>
        <w:pStyle w:val="Heading3"/>
      </w:pPr>
      <w:bookmarkStart w:id="124" w:name="Xd360546ee2de6eccf98c0c0219cb994fd3f3277"/>
      <w:r>
        <w:t xml:space="preserve">Tipos de Atividades realizadas nas oficinas</w:t>
      </w:r>
      <w:bookmarkEnd w:id="124"/>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25" w:name="Cidades Atendidas"/>
      <w:r>
        <w:t xml:space="preserve">Cidades Atendidas</w:t>
      </w:r>
      <w:bookmarkEnd w:id="125"/>
    </w:p>
    <w:p>
      <w:pPr>
        <w:pStyle w:val="FirstParagraph"/>
      </w:pPr>
      <w:r>
        <w:t xml:space="preserve">teste</w:t>
      </w:r>
    </w:p>
    <w:p>
      <w:pPr>
        <w:pStyle w:val="Heading3"/>
      </w:pPr>
      <w:bookmarkStart w:id="126" w:name="Participantes mais ass\'{\i}duos"/>
      <w:r>
        <w:t xml:space="preserve">Participantes mais assı́duos</w:t>
      </w:r>
      <w:bookmarkEnd w:id="126"/>
    </w:p>
    <w:p>
      <w:pPr>
        <w:pStyle w:val="FirstParagraph"/>
      </w:pPr>
      <w:r>
        <w:t xml:space="preserve">primeiro parágrafo</w:t>
      </w:r>
    </w:p>
    <w:p>
      <w:pPr>
        <w:pStyle w:val="Heading2"/>
      </w:pPr>
      <w:bookmarkStart w:id="127" w:name="X37e285622732d52a70904717003fd886db34897"/>
      <w:r>
        <w:t xml:space="preserve">Análise: sı́ntese das 3 dimensões</w:t>
      </w:r>
      <w:bookmarkEnd w:id="127"/>
    </w:p>
    <w:p>
      <w:pPr>
        <w:pStyle w:val="FirstParagraph"/>
      </w:pPr>
      <w:r>
        <w:t xml:space="preserve">Aqui será feita a sı́ntese das 3 dimensões.</w:t>
      </w:r>
    </w:p>
    <w:p>
      <w:pPr>
        <w:pStyle w:val="Heading1"/>
      </w:pPr>
      <w:bookmarkStart w:id="128" w:name="CONCLUS\~OES"/>
      <w:r>
        <w:t xml:space="preserve">CONCLUSÕES</w:t>
      </w:r>
      <w:bookmarkEnd w:id="128"/>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29" w:name="e1fee5245f1f580d36a53669e2e1e0d16ec34593"/>
      <w:r>
        <w:t xml:space="preserve">[e1fee5245f1f580d36a53669e2e1e0d16ec34593]</w:t>
      </w:r>
      <w:bookmarkEnd w:id="129"/>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30" w:name="PRODUTOS TECNOL\'OGICOS"/>
      <w:r>
        <w:t xml:space="preserve">PRODUTOS TECNOLÓGICOS</w:t>
      </w:r>
      <w:bookmarkEnd w:id="130"/>
    </w:p>
    <w:p>
      <w:pPr>
        <w:pStyle w:val="FirstParagraph"/>
      </w:pPr>
      <w:r>
        <w:t xml:space="preserve">Aqui entra o Produto tecnológico.</w:t>
      </w:r>
    </w:p>
    <w:p>
      <w:pPr>
        <w:pStyle w:val="Heading1"/>
      </w:pPr>
      <w:bookmarkStart w:id="131" w:name="REFER\^ENCIAS"/>
      <w:r>
        <w:t xml:space="preserve">REFERÊNCIAS</w:t>
      </w:r>
      <w:bookmarkEnd w:id="131"/>
    </w:p>
    <w:p>
      <w:pPr>
        <w:pStyle w:val="FirstParagraph"/>
      </w:pPr>
      <w:r>
        <w:t xml:space="preserve">Meo, S.A. Anatomy and physiology of a scientific paper, Saudi Journal of Biological Sciences, V.25, I.7, November 2018, Pg. 1278-1283</w:t>
      </w:r>
    </w:p>
    <w:p>
      <w:pPr>
        <w:pStyle w:val="BodyText"/>
      </w:pPr>
      <w:r>
        <w:t xml:space="preserve">LEVY, P. Cibercultura. 2 ed. Editora 34, Rio de Janeiro:, 2000.p. 14 e 15.</w:t>
      </w:r>
    </w:p>
    <w:p>
      <w:pPr>
        <w:pStyle w:val="BodyText"/>
      </w:pPr>
      <w:r>
        <w:t xml:space="preserve">DANTAS, V. Guerrilha Tecnológica, Livros Técnicos e Cientı́ficos, janeiro de 1988</w:t>
      </w:r>
    </w:p>
    <w:p>
      <w:pPr>
        <w:pStyle w:val="BodyText"/>
      </w:pPr>
      <w:r>
        <w:t xml:space="preserve">DUTTON, W. Social Transformation in an Information Society: Rethinking Access to You and the World, UNESCO 2004, Society: Rethinking Access to You and the World,</w:t>
      </w:r>
    </w:p>
    <w:p>
      <w:pPr>
        <w:pStyle w:val="BodyText"/>
      </w:pPr>
      <w:r>
        <w:t xml:space="preserve">HARARI, Y. 21 Lições para o século 21, Companhia das Letras, 2018</w:t>
      </w:r>
    </w:p>
    <w:p>
      <w:pPr>
        <w:pStyle w:val="BodyText"/>
      </w:pPr>
      <w:r>
        <w:t xml:space="preserve">BATES COLLEGE, How to Write a Paper in Scientific Journal Style and Format, v.10-2014, acessado em: https://www.bates.edu/biology/files/2010/06/How-to-Write-Guide-v10-2014.pdf, 2022</w:t>
      </w:r>
    </w:p>
    <w:p>
      <w:pPr>
        <w:pStyle w:val="BodyText"/>
      </w:pPr>
      <w:r>
        <w:t xml:space="preserve">KARA-JUNIOR, N. Estrutura, estilo e escrita de artigo cientı́fico: a maneira com que pesquisadores reconhecem seus pares, Revista Brasileira de Oftalmologia 73(5), Set-Out 2014.</w:t>
      </w:r>
    </w:p>
    <w:p>
      <w:pPr>
        <w:pStyle w:val="BodyText"/>
      </w:pPr>
      <w:r>
        <w:t xml:space="preserve">MAMMANA, A.P. Documentação Cientı́fica, acessado no Youtube em 2022</w:t>
      </w:r>
    </w:p>
    <w:p>
      <w:pPr>
        <w:pStyle w:val="BodyText"/>
      </w:pPr>
      <w:r>
        <w:t xml:space="preserve">CATTERALL, L.G. A brief history of STEM and STEAM from an Inadvertent Insider, The STEAM Journal, V 3(1) 2017</w:t>
      </w:r>
    </w:p>
    <w:p>
      <w:pPr>
        <w:pStyle w:val="BodyText"/>
      </w:pPr>
      <w:r>
        <w:t xml:space="preserve">ENGLEBART, D. Microeletronics and the art of similitude, 1960 IEEE International Solid-State Circuits Conference. Digest of Technical Papers, 10-12 de fevereiro de 1960</w:t>
      </w:r>
    </w:p>
    <w:p>
      <w:pPr>
        <w:pStyle w:val="BodyText"/>
      </w:pPr>
      <w:r>
        <w:t xml:space="preserve">NEGROPONTE, N. Brazil’s Plan 2004, acervo pessoal de Victor Mammana</w:t>
      </w:r>
    </w:p>
    <w:p>
      <w:pPr>
        <w:pStyle w:val="BodyText"/>
      </w:pPr>
      <w:r>
        <w:t xml:space="preserve">PAPERT, S. (2005). Teaching Children Thinking. Contemporary Issues in Technology and Teacher Education, 5(3), 353-365. Waynesville, NC USA: Society for Information Technology &amp; Teacher Education. Retrieved July 26, 2022</w:t>
      </w:r>
    </w:p>
    <w:p>
      <w:pPr>
        <w:pStyle w:val="BodyText"/>
      </w:pPr>
      <w:r>
        <w:t xml:space="preserve">Avaliação do Programa OLPC, Cubatão 2018</w:t>
      </w:r>
    </w:p>
    <w:p>
      <w:pPr>
        <w:pStyle w:val="BodyText"/>
      </w:pPr>
      <w:r>
        <w:t xml:space="preserve">BELL, 1973, professor de Harvard, que a partir do texto The Coming of Post Industrial Society [XXX BELL, Daniel. The Coming of Post-industrial Society. Nova York: Basic Books, 1973</w:t>
      </w:r>
    </w:p>
    <w:p>
      <w:pPr>
        <w:pStyle w:val="BodyText"/>
      </w:pPr>
      <w:r>
        <w:t xml:space="preserve">MAMMANA, A. Seminário - Documentação em Ciência e Tecnologia, vı́deo do Youtube, https://www.youtube.com/watch?v=-ek_EjIDWnE acessado em 12/08/2022</w:t>
      </w:r>
    </w:p>
    <w:p>
      <w:pPr>
        <w:pStyle w:val="BodyText"/>
      </w:pPr>
      <w:r>
        <w:t xml:space="preserve">Portaria CTI 178/2018.</w:t>
      </w:r>
    </w:p>
    <w:p>
      <w:pPr>
        <w:pStyle w:val="BodyText"/>
      </w:pPr>
      <w:r>
        <w:t xml:space="preserve">Avaliação do PIDs</w:t>
      </w:r>
    </w:p>
    <w:p>
      <w:pPr>
        <w:pStyle w:val="BodyText"/>
      </w:pPr>
      <w:r>
        <w:t xml:space="preserve">Marczal, E. S. Introdução à historiografia: da abordagem tradicional às perspectivas pós-modernas. Curitiba: Intersaberes, 2016, 1a Edição.</w:t>
      </w:r>
    </w:p>
    <w:p>
      <w:pPr>
        <w:pStyle w:val="BodyText"/>
      </w:pPr>
      <w:r>
        <w:t xml:space="preserve">FREITAS, I. TEORIAS DA HISTÓRIA NA HISTORIOGRAFIA DE RANKE, Ponta de Lança, São Cristóvão, v. 13, n. 25, jul. - dez. 2019.</w:t>
      </w:r>
    </w:p>
    <w:p>
      <w:pPr>
        <w:pStyle w:val="BodyText"/>
      </w:pPr>
      <w:r>
        <w:t xml:space="preserve">Imagem obtida da WIKIPEDIA acessada em 17 de agosto de 2022, através da URL https://pt.wikipedia.org/wiki/Heródoto</w:t>
      </w:r>
    </w:p>
    <w:p>
      <w:pPr>
        <w:pStyle w:val="BodyText"/>
      </w:pPr>
      <w:r>
        <w:t xml:space="preserve">BENTIVOGLIO, J. História e narrativa na Historiografia alemã do século XIX Anos 90, Porto Alegre, v. 17, n. 32, p.185-218, dez. 2010</w:t>
      </w:r>
    </w:p>
    <w:p>
      <w:pPr>
        <w:pStyle w:val="BodyText"/>
      </w:pPr>
      <w:r>
        <w:t xml:space="preserve">TEIXEIRA, F.C. Uma construção de fatos e palavras: Cı́cero e a concepção retórica da história, VARIA HISTORIA, Belo Horizonte, vol. 24, nº 40: p.551-568, jul/dez 2008</w:t>
      </w:r>
    </w:p>
    <w:p>
      <w:pPr>
        <w:pStyle w:val="BodyText"/>
      </w:pPr>
      <w:r>
        <w:t xml:space="preserve">Setzer, V. W.; Silva, F. S. C. Banco de Dados - Aprenda o que são, melhore seu conhecimento, construa os seus, Editora Edgard Blucher, 3a reimpressão, 2017</w:t>
      </w:r>
    </w:p>
    <w:p>
      <w:pPr>
        <w:pStyle w:val="BodyText"/>
      </w:pPr>
      <w:r>
        <w:t xml:space="preserve">Barrios, J.E.R. Information, Genetics and Entropy, Principia 19(1): 121–146 (2015)</w:t>
      </w:r>
    </w:p>
    <w:p>
      <w:pPr>
        <w:pStyle w:val="BodyText"/>
      </w:pPr>
      <w:r>
        <w:t xml:space="preserve">Rodrigues, Z.M.R. Sistema de indicadores e desigualdade socioambiental intraurbana de São Luı́z-MA, Tese de Doutorado, Orientador: Prof. Dr. Wagner Costa Ribeiro, Programa de Pós-Graduação da Universidade de São Paulo, 2010</w:t>
      </w:r>
    </w:p>
    <w:p>
      <w:pPr>
        <w:pStyle w:val="BodyText"/>
      </w:pPr>
      <w:r>
        <w:t xml:space="preserve">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C. apud: Indicators for Urban and Regional PLanning, New York: Routledge Taylor</w:t>
      </w:r>
    </w:p>
    <w:p>
      <w:pPr>
        <w:pStyle w:val="BodyText"/>
      </w:pPr>
      <w:r>
        <w:t xml:space="preserve">PARMENTER, D. Key Performance Indicators - Developing, Implementing, and Using Winning KPIs, John Wiley</w:t>
      </w:r>
    </w:p>
    <w:p>
      <w:pPr>
        <w:pStyle w:val="BodyText"/>
      </w:pPr>
      <w:r>
        <w:t xml:space="preserve">Mammana, C.Z. The Natual History of Information Processors in: The Quest for a Unified Theory of Information, Edited by Wolfgang Hofkirchner, Viena University, Austria, Gordon and Breach Publishers, 1999</w:t>
      </w:r>
    </w:p>
    <w:p>
      <w:pPr>
        <w:pStyle w:val="BodyText"/>
      </w:pPr>
      <w:r>
        <w:t xml:space="preserve">(A Escola Metódica dita Positivista in: REIS, José Carlos; História entre a Filosofia e a Ciência; pág. 22, 3 ed., 1 reimp; Belo Horizonte: Autêntica, 200</w:t>
      </w:r>
    </w:p>
    <w:p>
      <w:pPr>
        <w:pStyle w:val="BodyText"/>
      </w:pPr>
      <w:r>
        <w:t xml:space="preserve">PIRES, M.F. de C. O materialismo histórico-dialético e a Educação. Interface - Comunicação, Saúde, Educação [online]. 1997, v. 1, n. 1 [Acessado 31 Agosto 2022] , pp. 83-94. Disponı́vel em: &lt;https://doi.org/10.1590/S1414-32831997000200006&gt;. Epub 04 Ago 2009. ISSN 1807-5762. https://doi.org/10.1590/S1414-32831997000200006.</w:t>
      </w:r>
    </w:p>
    <w:p>
      <w:pPr>
        <w:pStyle w:val="BodyText"/>
      </w:pPr>
      <w:r>
        <w:t xml:space="preserve">Burke, P. A Revolução Francesa da historiografia: a Escola dos Annales 1929-1989 / Peter Burke; tradução Nilo Odália. – São Paulo: Editora Universidade Estadual Paulista, 1991</w:t>
      </w:r>
    </w:p>
    <w:p>
      <w:pPr>
        <w:pStyle w:val="BodyText"/>
      </w:pPr>
      <w:r>
        <w:t xml:space="preserve">Pieranti, O.P. A metodologia historiográfica na pesquisa em administração: uma discussão acerca de princı́pios e sua aplicabilidade no Brasil contemporâneo. Acessado em 11/01/22. www.scielo.br/cebape/a/</w:t>
      </w:r>
    </w:p>
    <w:p>
      <w:pPr>
        <w:pStyle w:val="BodyText"/>
      </w:pPr>
      <w:r>
        <w:t xml:space="preserve">Firat, A.F. Historiografia, Método Cientı́fico e Eventos Históricos Excepcionais, NA Advances in Consumer Research Volume 14, 1987, Pág. 453-438</w:t>
      </w:r>
    </w:p>
    <w:p>
      <w:pPr>
        <w:pStyle w:val="BodyText"/>
      </w:pPr>
      <w:r>
        <w:t xml:space="preserve">Mammana V.P., Tozzi E.S., Cruz R.G. da, Soares A.C. de D., Diogo C.P.M. e Morandi M.A. Memorando no. 70/2021/CEMADEN, Registro de Software Desenvolvido em 2020, 25 de fevereiro de 2022.</w:t>
      </w:r>
    </w:p>
    <w:p>
      <w:pPr>
        <w:pStyle w:val="BodyText"/>
      </w:pPr>
      <w:r>
        <w:t xml:space="preserve">Kijima R., Yang-Yoshihara M., Maekawa M. Using design thinking to cultivate the next generation of female STEAM thinkers, International Journal of STEM Education (2021) 8:14 https://doi.org/10.1186/s40594-021-00271-6</w:t>
      </w:r>
    </w:p>
    <w:p>
      <w:pPr>
        <w:pStyle w:val="BodyText"/>
      </w:pPr>
      <w:r>
        <w:t xml:space="preserve">Fuller, R. Advantages and hazards of using Microsoft Excel to Organize and display water quality data, Proceeedings of the 2011 Georgia Water Resources, held April 11-13, 2011 at the University of Georgia.</w:t>
      </w:r>
    </w:p>
    <w:p>
      <w:pPr>
        <w:pStyle w:val="BodyText"/>
      </w:pPr>
      <w:r>
        <w:t xml:space="preserve">Brudner, E. Twenty Two Advantages and Disadvantages of Using Spreadsheets for Business, acessado via https://blog.hubspot.com/sales/dangers-of-using-spreadsheets-for-sales em 20 de setembro de 2022.</w:t>
      </w:r>
    </w:p>
    <w:p>
      <w:pPr>
        <w:pStyle w:val="BodyText"/>
      </w:pPr>
      <w:r>
        <w:t xml:space="preserve">Codd, E.F. A Relational Model of Data for Large Shared Data Banks, Communications of the ACM, V13, N6, 1970</w:t>
      </w:r>
    </w:p>
    <w:p>
      <w:pPr>
        <w:pStyle w:val="BodyText"/>
      </w:pPr>
      <w:r>
        <w:t xml:space="preserve">Post sobre as 12 regras de Codd no website da empresa RelDB, obtido de https://reldb.org/c/index.php/twelve-rules/ em 21 de setembro de 2022.</w:t>
      </w:r>
    </w:p>
    <w:p>
      <w:pPr>
        <w:pStyle w:val="BodyText"/>
      </w:pPr>
      <w:r>
        <w:t xml:space="preserve">Lista das Regras de Codd obtido do website https://www.tutorialspoint.com/dbms/dbms_codds_rules.htm em 21 de setembro de 2022</w:t>
      </w:r>
    </w:p>
    <w:p>
      <w:pPr>
        <w:pStyle w:val="BodyText"/>
      </w:pPr>
      <w:r>
        <w:t xml:space="preserve">obtido de https://pt.wikipedia.org/wiki/Edgar_Frank_Codd em 21 de setembro de 2022.</w:t>
      </w:r>
    </w:p>
    <w:p>
      <w:pPr>
        <w:pStyle w:val="Heading1"/>
      </w:pPr>
      <w:bookmarkStart w:id="132" w:name="exemplo-de-anexo"/>
      <w:r>
        <w:t xml:space="preserve">Exemplo de anexo</w:t>
      </w:r>
      <w:bookmarkEnd w:id="132"/>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33" w:name="acentuação-modo-texto---latex"/>
      <w:r>
        <w:t xml:space="preserve">Acentuação (modo texto - LaTeX)</w:t>
      </w:r>
      <w:bookmarkEnd w:id="133"/>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34"/>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jpg" /><Relationship Type="http://schemas.openxmlformats.org/officeDocument/2006/relationships/image" Id="rId100" Target="media/rId100.jpg" /><Relationship Type="http://schemas.openxmlformats.org/officeDocument/2006/relationships/image" Id="rId90" Target="media/rId90.jpg" /><Relationship Type="http://schemas.openxmlformats.org/officeDocument/2006/relationships/image" Id="rId96" Target="media/rId96.jpg" /><Relationship Type="http://schemas.openxmlformats.org/officeDocument/2006/relationships/image" Id="rId39" Target="media/rId39.jpg" /><Relationship Type="http://schemas.openxmlformats.org/officeDocument/2006/relationships/image" Id="rId98" Target="media/rId98.jpg" /><Relationship Type="http://schemas.openxmlformats.org/officeDocument/2006/relationships/image" Id="rId23" Target="media/rId23.pn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png" /><Relationship Type="http://schemas.openxmlformats.org/officeDocument/2006/relationships/image" Id="rId94" Target="media/rId94.jpg" /><Relationship Type="http://schemas.openxmlformats.org/officeDocument/2006/relationships/image" Id="rId92" Target="media/rId92.jpg" /><Relationship Type="http://schemas.openxmlformats.org/officeDocument/2006/relationships/image" Id="rId112" Target="media/rId112.jpg" /><Relationship Type="http://schemas.openxmlformats.org/officeDocument/2006/relationships/image" Id="rId121" Target="media/rId121.png" /><Relationship Type="http://schemas.openxmlformats.org/officeDocument/2006/relationships/image" Id="rId118" Target="media/rId118.jpg" /><Relationship Type="http://schemas.openxmlformats.org/officeDocument/2006/relationships/image" Id="rId109" Target="media/rId109.jpg" /><Relationship Type="http://schemas.openxmlformats.org/officeDocument/2006/relationships/image" Id="rId105" Target="media/rId105.jpg" /><Relationship Type="http://schemas.openxmlformats.org/officeDocument/2006/relationships/image" Id="rId107" Target="media/rId107.jpg" /><Relationship Type="http://schemas.openxmlformats.org/officeDocument/2006/relationships/image" Id="rId41" Target="media/rId41.jpg" /><Relationship Type="http://schemas.openxmlformats.org/officeDocument/2006/relationships/image" Id="rId134" Target="media/rId1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2022-09-23T01:30:26Z</dcterms:created>
  <dcterms:modified xsi:type="dcterms:W3CDTF">2022-09-23T01:30:26Z</dcterms:modified>
</cp:coreProperties>
</file>

<file path=docProps/custom.xml><?xml version="1.0" encoding="utf-8"?>
<Properties xmlns="http://schemas.openxmlformats.org/officeDocument/2006/custom-properties" xmlns:vt="http://schemas.openxmlformats.org/officeDocument/2006/docPropsVTypes"/>
</file>